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15,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M&amp;T BANK CORPORATION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503" w:type="dxa"/>
        <w:jc w:val="center"/>
        <w:tblInd w:w="0" w:type="dxa"/>
        <w:tblLayout w:type="fixed"/>
        <w:tblCellMar>
          <w:top w:w="28" w:type="dxa"/>
          <w:left w:w="28" w:type="dxa"/>
          <w:bottom w:w="28" w:type="dxa"/>
          <w:right w:w="28" w:type="dxa"/>
        </w:tblCellMar>
      </w:tblPr>
      <w:tblGrid>
        <w:gridCol w:w="1157"/>
        <w:gridCol w:w="1016"/>
        <w:gridCol w:w="1022"/>
        <w:gridCol w:w="673"/>
        <w:gridCol w:w="673"/>
        <w:gridCol w:w="677"/>
        <w:gridCol w:w="961"/>
        <w:gridCol w:w="961"/>
        <w:gridCol w:w="1363"/>
      </w:tblGrid>
      <w:tr>
        <w:trPr/>
        <w:tc>
          <w:tcPr>
            <w:tcW w:w="115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New York</w:t>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 incorporation)</w:t>
            </w:r>
          </w:p>
        </w:tc>
      </w:tr>
      <w:tr>
        <w:trPr/>
        <w:tc>
          <w:tcPr>
            <w:tcW w:w="31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1-9861</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16-0968385</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(I.R.S. Employer Identification Number)</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One M&amp;T Plaza</w:t>
            </w:r>
            <w:r>
              <w:rPr>
                <w:rFonts w:ascii="Helvetica;sans-serif" w:hAnsi="Helvetica;sans-serif"/>
                <w:b/>
                <w:color w:val="000000"/>
                <w:sz w:val="20"/>
              </w:rPr>
              <w:t xml:space="preserve">, </w:t>
            </w:r>
            <w:r>
              <w:rPr>
                <w:rFonts w:ascii="Times New Roman;serif" w:hAnsi="Times New Roman;serif"/>
                <w:b/>
                <w:color w:val="000000"/>
                <w:sz w:val="20"/>
              </w:rPr>
              <w:t>Buffalo, New York</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14203</w:t>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(Zip Code)</w:t>
            </w:r>
          </w:p>
        </w:tc>
      </w:tr>
      <w:tr>
        <w:trPr/>
        <w:tc>
          <w:tcPr>
            <w:tcW w:w="85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(716) 635-4000</w:t>
            </w:r>
          </w:p>
        </w:tc>
      </w:tr>
    </w:tbl>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7885" w:type="dxa"/>
        <w:jc w:val="left"/>
        <w:tblInd w:w="0" w:type="dxa"/>
        <w:tblLayout w:type="fixed"/>
        <w:tblCellMar>
          <w:top w:w="28" w:type="dxa"/>
          <w:left w:w="28" w:type="dxa"/>
          <w:bottom w:w="28" w:type="dxa"/>
          <w:right w:w="28" w:type="dxa"/>
        </w:tblCellMar>
      </w:tblPr>
      <w:tblGrid>
        <w:gridCol w:w="1111"/>
        <w:gridCol w:w="974"/>
        <w:gridCol w:w="974"/>
        <w:gridCol w:w="454"/>
        <w:gridCol w:w="454"/>
        <w:gridCol w:w="454"/>
        <w:gridCol w:w="1015"/>
        <w:gridCol w:w="1015"/>
        <w:gridCol w:w="1434"/>
      </w:tblGrid>
      <w:tr>
        <w:trPr/>
        <w:tc>
          <w:tcPr>
            <w:tcW w:w="111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788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Common Stock, $.50 par value</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Perpetual Fixed-to-Floating Rate</w:t>
            </w:r>
          </w:p>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Non-Cumulative Preferred Stock, Series H</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MTBPrH</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Perpetual Fixed Rate Non-Cumulative</w:t>
            </w:r>
          </w:p>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Preferred Stock, Series J</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MTBPrJ</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Perpetual Fixed Rate Non-Cumulative </w:t>
              <w:br/>
              <w:t>Preferred Stock, Series K</w:t>
            </w:r>
          </w:p>
        </w:tc>
        <w:tc>
          <w:tcPr>
            <w:tcW w:w="13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MTBPrK</w:t>
            </w:r>
          </w:p>
        </w:tc>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15, 2026, M&amp;T Bank Corporation (“M&amp;T”) announced its results of operations for the quarter ended June 30, 2026. The public announcement was made by means of a news release, the text of which is set forth in Exhibit 99.1 hereto.</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this Form 8-K, including Exhibit 99.1 attached hereto, is being furnished and shall not be deemed to be “filed” for purposes of Section 18 of the Securities Exchange Act of 1934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68" w:before="0" w:after="0"/>
        <w:jc w:val="left"/>
        <w:rPr/>
      </w:pPr>
      <w:r>
        <w:rPr>
          <w:rFonts w:ascii="Times New Roman;serif" w:hAnsi="Times New Roman;serif"/>
          <w:b w:val="false"/>
          <w:color w:val="000000"/>
          <w:sz w:val="20"/>
        </w:rPr>
        <w:t xml:space="preserve">On July 15, 2026, M&amp;T posted an investor presentation to its website. A copy of the presentation is attached as Exhibit 99.2 hereto. From time to time, M&amp;T may use this presentation in conversations with investors and analysts. The presentation can be found on the Investor Relations page of M&amp;T’s website at </w:t>
      </w:r>
      <w:r>
        <w:rPr>
          <w:rFonts w:ascii="Times New Roman;serif" w:hAnsi="Times New Roman;serif"/>
          <w:b w:val="false"/>
          <w:color w:val="000000"/>
          <w:sz w:val="20"/>
          <w:u w:val="single"/>
        </w:rPr>
        <w:t>ir.mtb.com/events-presentations</w:t>
      </w:r>
      <w:r>
        <w:rPr>
          <w:rFonts w:ascii="Times New Roman;serif" w:hAnsi="Times New Roman;serif"/>
          <w:b w:val="false"/>
          <w:color w:val="000000"/>
          <w:sz w:val="20"/>
        </w:rPr>
        <w:t>.</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in Item 7.01 of this Form 8-K, including Exhibit 99.2 attached hereto, is being furnished and shall not be deemed to be “filed” for purposes of Section 18 of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871"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26"/>
        <w:gridCol w:w="1926"/>
        <w:gridCol w:w="2747"/>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991release2q26.htm">
              <w:r>
                <w:rPr>
                  <w:rStyle w:val="InternetLink"/>
                  <w:rFonts w:ascii="Times New Roman;serif" w:hAnsi="Times New Roman;serif"/>
                  <w:b w:val="false"/>
                  <w:color w:val="0000FF"/>
                  <w:sz w:val="20"/>
                  <w:u w:val="single"/>
                </w:rPr>
                <w:t>News Release dated July 15,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2q26earningspresentatio.htm">
              <w:r>
                <w:rPr>
                  <w:rStyle w:val="InternetLink"/>
                  <w:rFonts w:ascii="Times New Roman;serif" w:hAnsi="Times New Roman;serif"/>
                  <w:b w:val="false"/>
                  <w:color w:val="0000FF"/>
                  <w:sz w:val="20"/>
                  <w:u w:val="single"/>
                </w:rPr>
                <w:t>M&amp;T Bank Corporation presentation dated July 15, 2026</w:t>
              </w:r>
            </w:hyperlink>
          </w:p>
        </w:tc>
      </w:tr>
      <w:tr>
        <w:trPr/>
        <w:tc>
          <w:tcPr>
            <w:tcW w:w="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tbl>
      <w:tblPr>
        <w:tblW w:w="6725" w:type="dxa"/>
        <w:jc w:val="righ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109"/>
        <w:gridCol w:w="109"/>
        <w:gridCol w:w="109"/>
        <w:gridCol w:w="499"/>
        <w:gridCol w:w="499"/>
        <w:gridCol w:w="499"/>
        <w:gridCol w:w="817"/>
        <w:gridCol w:w="817"/>
        <w:gridCol w:w="1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1"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M&amp;T BANK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July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Daryl N. Bible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Daryl N. Bible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Senior Executive Vice President </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and Chief Financial Officer</w:t>
            </w:r>
          </w:p>
        </w:tc>
      </w:tr>
    </w:tbl>
    <w:p>
      <w:pPr>
        <w:pStyle w:val="TextBody"/>
        <w:bidi w:val="0"/>
        <w:spacing w:before="0" w:after="12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9342" w:type="dxa"/>
        <w:jc w:val="left"/>
        <w:tblInd w:w="0" w:type="dxa"/>
        <w:tblLayout w:type="fixed"/>
        <w:tblCellMar>
          <w:top w:w="28" w:type="dxa"/>
          <w:left w:w="28" w:type="dxa"/>
          <w:bottom w:w="28" w:type="dxa"/>
          <w:right w:w="28" w:type="dxa"/>
        </w:tblCellMar>
      </w:tblPr>
      <w:tblGrid>
        <w:gridCol w:w="2370"/>
        <w:gridCol w:w="2084"/>
        <w:gridCol w:w="2085"/>
        <w:gridCol w:w="820"/>
        <w:gridCol w:w="820"/>
        <w:gridCol w:w="1163"/>
      </w:tblGrid>
      <w:tr>
        <w:trPr/>
        <w:tc>
          <w:tcPr>
            <w:tcW w:w="23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shd w:fill="00785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3"/>
            <w:tcBorders/>
            <w:shd w:fill="00785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9"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33675" cy="323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33675" cy="323850"/>
                          </a:xfrm>
                          <a:prstGeom prst="rect">
                            <a:avLst/>
                          </a:prstGeom>
                        </pic:spPr>
                      </pic:pic>
                    </a:graphicData>
                  </a:graphic>
                </wp:inline>
              </w:drawing>
            </w:r>
          </w:p>
          <w:p>
            <w:pPr>
              <w:pStyle w:val="TableContents"/>
              <w:bidi w:val="0"/>
              <w:spacing w:before="0" w:after="0"/>
              <w:jc w:val="left"/>
              <w:rPr/>
            </w:pPr>
            <w:r>
              <w:rPr/>
            </w:r>
          </w:p>
        </w:tc>
        <w:tc>
          <w:tcPr>
            <w:tcW w:w="2803" w:type="dxa"/>
            <w:gridSpan w:val="3"/>
            <w:tcBorders/>
            <w:shd w:fill="007856"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FFFFFF"/>
                <w:sz w:val="32"/>
              </w:rPr>
            </w:pPr>
            <w:r>
              <w:rPr>
                <w:rFonts w:ascii="Times New Roman;serif" w:hAnsi="Times New Roman;serif"/>
                <w:b w:val="false"/>
                <w:color w:val="FFFFFF"/>
                <w:sz w:val="32"/>
              </w:rPr>
              <w:t>News Release</w:t>
            </w:r>
          </w:p>
        </w:tc>
      </w:tr>
      <w:tr>
        <w:trPr/>
        <w:tc>
          <w:tcPr>
            <w:tcW w:w="6539"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val="false"/>
                <w:color w:val="FFFFFF"/>
                <w:sz w:val="24"/>
              </w:rPr>
              <w:t>One M&amp;T Plaza, Buffalo, NY 14203</w:t>
            </w:r>
          </w:p>
        </w:tc>
        <w:tc>
          <w:tcPr>
            <w:tcW w:w="2803"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FFFFF"/>
                <w:sz w:val="24"/>
              </w:rPr>
            </w:pPr>
            <w:r>
              <w:rPr>
                <w:rFonts w:ascii="Times New Roman;serif" w:hAnsi="Times New Roman;serif"/>
                <w:b w:val="false"/>
                <w:color w:val="FFFFFF"/>
                <w:sz w:val="24"/>
              </w:rPr>
              <w:t>July 15, 2026</w:t>
            </w:r>
          </w:p>
        </w:tc>
      </w:tr>
      <w:tr>
        <w:trPr/>
        <w:tc>
          <w:tcPr>
            <w:tcW w:w="6539" w:type="dxa"/>
            <w:gridSpan w:val="3"/>
            <w:tcBorders/>
            <w:shd w:fill="00785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3"/>
            <w:tcBorders>
              <w:bottom w:val="single" w:sz="4" w:space="0" w:color="000000"/>
            </w:tcBorders>
            <w:shd w:fill="007856"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342" w:type="dxa"/>
            <w:gridSpan w:val="6"/>
            <w:tcBorders>
              <w:top w:val="single" w:sz="4" w:space="0" w:color="000000"/>
              <w:left w:val="single" w:sz="2" w:space="0" w:color="000000"/>
              <w:bottom w:val="single" w:sz="2" w:space="0" w:color="000000"/>
              <w:right w:val="single" w:sz="2" w:space="0" w:color="000000"/>
            </w:tcBorders>
            <w:shd w:fill="FFFFFF" w:val="clear"/>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27"/>
              </w:rPr>
            </w:pPr>
            <w:r>
              <w:rPr>
                <w:rFonts w:ascii="Times New Roman;serif" w:hAnsi="Times New Roman;serif"/>
                <w:b/>
                <w:color w:val="000000"/>
                <w:sz w:val="27"/>
              </w:rPr>
              <w:t xml:space="preserve">M&amp;T Bank Corporation (NYSE:MTB) announces second quarter 2026 results </w:t>
            </w:r>
          </w:p>
        </w:tc>
      </w:tr>
    </w:tbl>
    <w:p>
      <w:pPr>
        <w:pStyle w:val="TextBody"/>
        <w:bidi w:val="0"/>
        <w:spacing w:lineRule="auto" w:line="240" w:before="0" w:after="60"/>
        <w:jc w:val="left"/>
        <w:rPr>
          <w:rFonts w:ascii="Times New Roman;serif" w:hAnsi="Times New Roman;serif"/>
          <w:b w:val="false"/>
          <w:color w:val="000000"/>
          <w:sz w:val="18"/>
        </w:rPr>
      </w:pPr>
      <w:r>
        <w:rPr>
          <w:rFonts w:ascii="Times New Roman;serif" w:hAnsi="Times New Roman;serif"/>
          <w:b w:val="false"/>
          <w:color w:val="000000"/>
          <w:sz w:val="18"/>
        </w:rPr>
        <w:t>M&amp;T Bank Corporation ("M&amp;T" or "the Company") reports quarterly net income of $818 million or $5.32 of diluted earnings per common share.</w:t>
      </w:r>
    </w:p>
    <w:tbl>
      <w:tblPr>
        <w:tblW w:w="9361" w:type="dxa"/>
        <w:jc w:val="left"/>
        <w:tblInd w:w="0" w:type="dxa"/>
        <w:tblLayout w:type="fixed"/>
        <w:tblCellMar>
          <w:top w:w="28" w:type="dxa"/>
          <w:left w:w="28" w:type="dxa"/>
          <w:bottom w:w="28" w:type="dxa"/>
          <w:right w:w="28" w:type="dxa"/>
        </w:tblCellMar>
      </w:tblPr>
      <w:tblGrid>
        <w:gridCol w:w="1585"/>
        <w:gridCol w:w="1392"/>
        <w:gridCol w:w="1403"/>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2Q25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8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4B36"/>
                <w:sz w:val="24"/>
              </w:rPr>
            </w:pPr>
            <w:r>
              <w:rPr>
                <w:rFonts w:ascii="Times New Roman;serif" w:hAnsi="Times New Roman;serif"/>
                <w:b/>
                <w:color w:val="004B36"/>
                <w:sz w:val="24"/>
              </w:rPr>
              <w:t>Earnings Highlights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Taxable-equivalent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 taxable-equivalent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common share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assets -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on average common shareholders' equity - annualized</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8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4B36"/>
                <w:sz w:val="24"/>
              </w:rPr>
            </w:pPr>
            <w:r>
              <w:rPr>
                <w:rFonts w:ascii="Times New Roman;serif" w:hAnsi="Times New Roman;serif"/>
                <w:b/>
                <w:color w:val="004B36"/>
                <w:sz w:val="24"/>
              </w:rPr>
              <w:t>Average Balance Sheet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216,532 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213,828 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210,261 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 at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38,728 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37,845 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35,335 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(1)</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163,524 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164,176 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163,258 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20,794 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16,759 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14,263 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80"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4B36"/>
                <w:sz w:val="24"/>
              </w:rPr>
            </w:pPr>
            <w:r>
              <w:rPr>
                <w:rFonts w:ascii="Times New Roman;serif" w:hAnsi="Times New Roman;serif"/>
                <w:b/>
                <w:color w:val="004B36"/>
                <w:sz w:val="24"/>
              </w:rPr>
              <w:t>Selected 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expressed as a percent, except per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 (1)</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4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 to average total loans - annualized</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loan losses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 loans to total loans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("CET1") capital ratio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shareholders' equity per share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176.03 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173.82 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bottom w:val="single" w:sz="8" w:space="0" w:color="000000"/>
            </w:tcBorders>
            <w:shd w:fill="E5F1EE"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166.94 </w:t>
            </w:r>
          </w:p>
        </w:tc>
        <w:tc>
          <w:tcPr>
            <w:tcW w:w="241" w:type="dxa"/>
            <w:tcBorders>
              <w:bottom w:val="single" w:sz="8" w:space="0" w:color="000000"/>
            </w:tcBorders>
            <w:shd w:fill="E5F1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 xml:space="preserve">(1) In conjunction with the implementation of a new general ledger platform during the second quarter of 2026, the Company modified its methodology for calculating annualized </w:t>
        <w:br/>
        <w:t>taxable-equivalent rates for certain earning assets and interest-bearing liabilities, including certain average deposit balances. Previously reported amounts have been adjusted to</w:t>
        <w:br/>
        <w:t>conform to the current presentation.</w:t>
      </w:r>
    </w:p>
    <w:p>
      <w:pPr>
        <w:pStyle w:val="TextBody"/>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(2) A reconciliation of non-GAAP measures is included in the tables that accompany this release.</w:t>
      </w:r>
    </w:p>
    <w:p>
      <w:pPr>
        <w:pStyle w:val="TextBody"/>
        <w:bidi w:val="0"/>
        <w:spacing w:lineRule="auto" w:line="240" w:before="0" w:after="60"/>
        <w:jc w:val="left"/>
        <w:rPr>
          <w:rFonts w:ascii="Times New Roman;serif" w:hAnsi="Times New Roman;serif"/>
          <w:b w:val="false"/>
          <w:color w:val="000000"/>
          <w:sz w:val="15"/>
        </w:rPr>
      </w:pPr>
      <w:r>
        <w:rPr>
          <w:rFonts w:ascii="Times New Roman;serif" w:hAnsi="Times New Roman;serif"/>
          <w:b w:val="false"/>
          <w:color w:val="000000"/>
          <w:sz w:val="15"/>
        </w:rPr>
        <w:t>(3) CET1 capital ratio at June 30, 2026 is estimated.</w:t>
      </w:r>
    </w:p>
    <w:tbl>
      <w:tblPr>
        <w:tblW w:w="2204" w:type="dxa"/>
        <w:jc w:val="left"/>
        <w:tblInd w:w="0" w:type="dxa"/>
        <w:tblLayout w:type="fixed"/>
        <w:tblCellMar>
          <w:top w:w="28" w:type="dxa"/>
          <w:left w:w="28" w:type="dxa"/>
          <w:bottom w:w="28" w:type="dxa"/>
          <w:right w:w="28" w:type="dxa"/>
        </w:tblCellMar>
      </w:tblPr>
      <w:tblGrid>
        <w:gridCol w:w="705"/>
        <w:gridCol w:w="620"/>
        <w:gridCol w:w="879"/>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Financial Highlights</w:t>
            </w:r>
          </w:p>
        </w:tc>
      </w:tr>
    </w:tbl>
    <w:p>
      <w:pPr>
        <w:pStyle w:val="TextBody"/>
        <w:bidi w:val="0"/>
        <w:spacing w:lineRule="auto" w:line="240" w:before="0" w:after="0"/>
        <w:ind w:left="0" w:right="0" w:hanging="490"/>
        <w:jc w:val="left"/>
        <w:rPr/>
      </w:pPr>
      <w:r>
        <w:rPr>
          <w:color w:val="000000"/>
        </w:rPr>
        <w:t>•</w:t>
      </w:r>
      <w:r>
        <w:rPr>
          <w:rFonts w:ascii="Times New Roman;serif" w:hAnsi="Times New Roman;serif"/>
          <w:b w:val="false"/>
          <w:color w:val="000000"/>
          <w:sz w:val="18"/>
        </w:rPr>
        <w:t>Taxable-equivalent net interest income increased $41 million in the recent quarter as compared with the first quarter of 2026 reflecting an additional day in the recent quarter, higher interest income on nonaccrual loans and growth in average earning assets. The net interest margin remained at 3.70%.</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18"/>
        </w:rPr>
        <w:t>A $3.0 billion increase in average loan balances in the recent quarter spanned all loan categories including $2.3 billion of growth in average commercial and industrial loans. Commercial real estate loans at June 30, 2026 increased $1.1 billion from March 31, 2026.</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18"/>
        </w:rPr>
        <w:t>Noninterest income in the recent quarter reflects a higher distribution from M&amp;T's investment in Bayview Lending Group LLC ("BLG"), an increase in trust income and a rise in revenues from interest rate swap agreements entered into for commercial customers.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18"/>
        </w:rPr>
        <w:t>The decline in noninterest expense reflects seasonal salaries and employee benefits expense recognized in the first quarter of 2026.</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18"/>
        </w:rPr>
        <w:t>The allowance for loan losses as a percent of total loans declined 1 basis point to 1.52%</w:t>
      </w:r>
      <w:r>
        <w:rPr>
          <w:color w:val="000000"/>
        </w:rPr>
        <w:t xml:space="preserve"> </w:t>
      </w:r>
      <w:r>
        <w:rPr>
          <w:rFonts w:ascii="Times New Roman;serif" w:hAnsi="Times New Roman;serif"/>
          <w:b w:val="false"/>
          <w:color w:val="000000"/>
          <w:sz w:val="18"/>
        </w:rPr>
        <w:t xml:space="preserve">at June 30, 2026. </w:t>
      </w:r>
    </w:p>
    <w:p>
      <w:pPr>
        <w:pStyle w:val="TextBody"/>
        <w:bidi w:val="0"/>
        <w:spacing w:lineRule="auto" w:line="240" w:before="0" w:after="60"/>
        <w:ind w:left="0" w:right="0" w:hanging="490"/>
        <w:jc w:val="left"/>
        <w:rPr/>
      </w:pPr>
      <w:r>
        <w:rPr>
          <w:color w:val="000000"/>
        </w:rPr>
        <w:t>•</w:t>
      </w:r>
      <w:r>
        <w:rPr>
          <w:rFonts w:ascii="Times New Roman;serif" w:hAnsi="Times New Roman;serif"/>
          <w:b w:val="false"/>
          <w:color w:val="000000"/>
          <w:sz w:val="18"/>
        </w:rPr>
        <w:t>In the recent quarter, M&amp;T repurchased 2.1 million shares of its common stock at a total cost of $465 million. M&amp;T's CET1 capital ratio is estimated to be 10.19% at June 30, 2026.</w:t>
      </w:r>
    </w:p>
    <w:tbl>
      <w:tblPr>
        <w:tblW w:w="3900" w:type="dxa"/>
        <w:jc w:val="left"/>
        <w:tblInd w:w="0" w:type="dxa"/>
        <w:tblLayout w:type="fixed"/>
        <w:tblCellMar>
          <w:top w:w="28" w:type="dxa"/>
          <w:left w:w="28" w:type="dxa"/>
          <w:bottom w:w="28" w:type="dxa"/>
          <w:right w:w="28" w:type="dxa"/>
        </w:tblCellMar>
      </w:tblPr>
      <w:tblGrid>
        <w:gridCol w:w="1248"/>
        <w:gridCol w:w="1096"/>
        <w:gridCol w:w="1556"/>
      </w:tblGrid>
      <w:tr>
        <w:trPr/>
        <w:tc>
          <w:tcPr>
            <w:tcW w:w="124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Chief Financial Officer Commentary</w:t>
            </w:r>
          </w:p>
        </w:tc>
      </w:tr>
    </w:tbl>
    <w:p>
      <w:pPr>
        <w:pStyle w:val="TextBody"/>
        <w:bidi w:val="0"/>
        <w:spacing w:lineRule="auto" w:line="276" w:before="0" w:after="60"/>
        <w:jc w:val="left"/>
        <w:rPr>
          <w:rFonts w:ascii="Times New Roman;serif" w:hAnsi="Times New Roman;serif"/>
          <w:b w:val="false"/>
          <w:color w:val="000000"/>
          <w:sz w:val="18"/>
        </w:rPr>
      </w:pPr>
      <w:r>
        <w:rPr>
          <w:rFonts w:ascii="Times New Roman;serif" w:hAnsi="Times New Roman;serif"/>
          <w:b w:val="false"/>
          <w:color w:val="000000"/>
          <w:sz w:val="18"/>
        </w:rPr>
        <w:t>"M&amp;T generated record earnings per share in the second quarter, reflecting strong contributions from our commercial, retail and institutional services and wealth management businesses. These results reflect the enduring strength of our franchise and the dedication of our employees to making a meaningful difference in the lives of our customers and communities. I want to thank my M&amp;T colleagues. As a result of their commitment, M&amp;T continues to create lasting value for everyone we serve."</w:t>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i/>
          <w:color w:val="000000"/>
          <w:sz w:val="20"/>
        </w:rPr>
      </w:pPr>
      <w:r>
        <w:rPr>
          <w:rFonts w:ascii="Times New Roman;serif" w:hAnsi="Times New Roman;serif"/>
          <w:b/>
          <w:i/>
          <w:color w:val="000000"/>
          <w:sz w:val="20"/>
        </w:rPr>
        <w:t>- Daryl N. Bible, M&amp;T's Chief Financial Officer</w:t>
      </w:r>
    </w:p>
    <w:p>
      <w:pPr>
        <w:pStyle w:val="TextBody"/>
        <w:bidi w:val="0"/>
        <w:spacing w:before="0" w:after="0"/>
        <w:jc w:val="both"/>
        <w:rPr/>
      </w:pPr>
      <w:r>
        <w:rPr/>
      </w:r>
    </w:p>
    <w:tbl>
      <w:tblPr>
        <w:tblW w:w="4407" w:type="dxa"/>
        <w:jc w:val="left"/>
        <w:tblInd w:w="0" w:type="dxa"/>
        <w:tblLayout w:type="fixed"/>
        <w:tblCellMar>
          <w:top w:w="28" w:type="dxa"/>
          <w:left w:w="28" w:type="dxa"/>
          <w:bottom w:w="28" w:type="dxa"/>
          <w:right w:w="28" w:type="dxa"/>
        </w:tblCellMar>
      </w:tblPr>
      <w:tblGrid>
        <w:gridCol w:w="720"/>
        <w:gridCol w:w="637"/>
        <w:gridCol w:w="604"/>
        <w:gridCol w:w="434"/>
        <w:gridCol w:w="434"/>
        <w:gridCol w:w="437"/>
        <w:gridCol w:w="334"/>
        <w:gridCol w:w="334"/>
        <w:gridCol w:w="473"/>
      </w:tblGrid>
      <w:tr>
        <w:trPr/>
        <w:tc>
          <w:tcPr>
            <w:tcW w:w="72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Contact:</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Investor Relations: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Rajiv Ranjan</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716.842.5138</w:t>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Steve Wendelboe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716.842.5138</w:t>
            </w:r>
          </w:p>
        </w:tc>
      </w:tr>
      <w:tr>
        <w:trPr/>
        <w:tc>
          <w:tcPr>
            <w:tcW w:w="1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Media Relations: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Frank Lentini </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929.651.0447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tbl>
      <w:tblPr>
        <w:tblW w:w="10205" w:type="dxa"/>
        <w:jc w:val="left"/>
        <w:tblInd w:w="0" w:type="dxa"/>
        <w:tblLayout w:type="fixed"/>
        <w:tblCellMar>
          <w:top w:w="28" w:type="dxa"/>
          <w:left w:w="28" w:type="dxa"/>
          <w:bottom w:w="28" w:type="dxa"/>
          <w:right w:w="28" w:type="dxa"/>
        </w:tblCellMar>
      </w:tblPr>
      <w:tblGrid>
        <w:gridCol w:w="959"/>
        <w:gridCol w:w="728"/>
        <w:gridCol w:w="733"/>
        <w:gridCol w:w="109"/>
        <w:gridCol w:w="109"/>
        <w:gridCol w:w="109"/>
        <w:gridCol w:w="211"/>
        <w:gridCol w:w="721"/>
        <w:gridCol w:w="271"/>
        <w:gridCol w:w="109"/>
        <w:gridCol w:w="109"/>
        <w:gridCol w:w="109"/>
        <w:gridCol w:w="211"/>
        <w:gridCol w:w="721"/>
        <w:gridCol w:w="271"/>
        <w:gridCol w:w="109"/>
        <w:gridCol w:w="109"/>
        <w:gridCol w:w="109"/>
        <w:gridCol w:w="292"/>
        <w:gridCol w:w="272"/>
        <w:gridCol w:w="678"/>
        <w:gridCol w:w="109"/>
        <w:gridCol w:w="109"/>
        <w:gridCol w:w="109"/>
        <w:gridCol w:w="211"/>
        <w:gridCol w:w="721"/>
        <w:gridCol w:w="271"/>
        <w:gridCol w:w="109"/>
        <w:gridCol w:w="109"/>
        <w:gridCol w:w="109"/>
        <w:gridCol w:w="284"/>
        <w:gridCol w:w="258"/>
        <w:gridCol w:w="757"/>
      </w:tblGrid>
      <w:tr>
        <w:trPr/>
        <w:tc>
          <w:tcPr>
            <w:tcW w:w="95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Non-GAAP Measures (1)</w:t>
            </w:r>
          </w:p>
        </w:tc>
      </w:tr>
      <w:tr>
        <w:trPr/>
        <w:tc>
          <w:tcPr>
            <w:tcW w:w="2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2Q25</w:t>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r>
      <w:tr>
        <w:trPr/>
        <w:tc>
          <w:tcPr>
            <w:tcW w:w="242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7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5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operating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return on average tangible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return on average tangible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Efficiency ratio</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(1)A reconciliation of non-GAAP measures is included in the tables that accompany this release.</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M&amp;T consistently provides supplemental reporting of its results on a “net operating” or “tangible” basis, from which M&amp;T excludes the after-tax effect of amortization of core deposit and other intangible assets (and the related goodwill and core deposit and other intangible asset balances, net of applicable deferred tax amounts) and expenses associated with merging acquired operations into M&amp;T (when incurred), since such items are considered by management to be “nonoperating” in nature.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3"/>
        <w:gridCol w:w="639"/>
        <w:gridCol w:w="530"/>
        <w:gridCol w:w="109"/>
        <w:gridCol w:w="109"/>
        <w:gridCol w:w="109"/>
        <w:gridCol w:w="211"/>
        <w:gridCol w:w="826"/>
        <w:gridCol w:w="271"/>
        <w:gridCol w:w="109"/>
        <w:gridCol w:w="109"/>
        <w:gridCol w:w="109"/>
        <w:gridCol w:w="211"/>
        <w:gridCol w:w="826"/>
        <w:gridCol w:w="271"/>
        <w:gridCol w:w="109"/>
        <w:gridCol w:w="109"/>
        <w:gridCol w:w="109"/>
        <w:gridCol w:w="256"/>
        <w:gridCol w:w="256"/>
        <w:gridCol w:w="639"/>
        <w:gridCol w:w="109"/>
        <w:gridCol w:w="109"/>
        <w:gridCol w:w="109"/>
        <w:gridCol w:w="211"/>
        <w:gridCol w:w="826"/>
        <w:gridCol w:w="271"/>
        <w:gridCol w:w="109"/>
        <w:gridCol w:w="109"/>
        <w:gridCol w:w="109"/>
        <w:gridCol w:w="244"/>
        <w:gridCol w:w="244"/>
        <w:gridCol w:w="715"/>
      </w:tblGrid>
      <w:tr>
        <w:trPr/>
        <w:tc>
          <w:tcPr>
            <w:tcW w:w="112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Taxable-equivalent Net Interest Income (1)</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2Q25</w:t>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earning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195,216 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192,594 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39"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190,535 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1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interest-bearing liabilities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 taxable-equivalent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1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Yield on average earning assets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interest-bearing liabilities (2)</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 (2)</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(1)Condensed Consolidated Average Balance Sheet and Annualized Taxable-equivalent Rates are included in the accompanying table on page 15.</w:t>
      </w:r>
    </w:p>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(2)In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Taxable-equivalent net interest income increased $41 million, or 2%, compared with the first quarter of 2026 reflecting an additional calendar day, higher interest income from nonaccrual loans and growth in average loans in the recent quarter. Taxable-equivalent net interest income increased $82 million, or 5%, as compared with the year-earlier second quarter reflecting growth in average loans and investment securities and favorable earning asset and interest-bearing liability repricing, including an improved impact from interest rate swap agreements.</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tbl>
      <w:tblPr>
        <w:tblW w:w="10205" w:type="dxa"/>
        <w:jc w:val="left"/>
        <w:tblInd w:w="0" w:type="dxa"/>
        <w:tblLayout w:type="fixed"/>
        <w:tblCellMar>
          <w:top w:w="28" w:type="dxa"/>
          <w:left w:w="28" w:type="dxa"/>
          <w:bottom w:w="28" w:type="dxa"/>
          <w:right w:w="28" w:type="dxa"/>
        </w:tblCellMar>
      </w:tblPr>
      <w:tblGrid>
        <w:gridCol w:w="847"/>
        <w:gridCol w:w="695"/>
        <w:gridCol w:w="589"/>
        <w:gridCol w:w="109"/>
        <w:gridCol w:w="109"/>
        <w:gridCol w:w="109"/>
        <w:gridCol w:w="211"/>
        <w:gridCol w:w="826"/>
        <w:gridCol w:w="109"/>
        <w:gridCol w:w="109"/>
        <w:gridCol w:w="109"/>
        <w:gridCol w:w="109"/>
        <w:gridCol w:w="211"/>
        <w:gridCol w:w="826"/>
        <w:gridCol w:w="109"/>
        <w:gridCol w:w="109"/>
        <w:gridCol w:w="109"/>
        <w:gridCol w:w="109"/>
        <w:gridCol w:w="403"/>
        <w:gridCol w:w="307"/>
        <w:gridCol w:w="764"/>
        <w:gridCol w:w="109"/>
        <w:gridCol w:w="109"/>
        <w:gridCol w:w="109"/>
        <w:gridCol w:w="211"/>
        <w:gridCol w:w="826"/>
        <w:gridCol w:w="109"/>
        <w:gridCol w:w="109"/>
        <w:gridCol w:w="109"/>
        <w:gridCol w:w="109"/>
        <w:gridCol w:w="391"/>
        <w:gridCol w:w="289"/>
        <w:gridCol w:w="847"/>
      </w:tblGrid>
      <w:tr>
        <w:trPr/>
        <w:tc>
          <w:tcPr>
            <w:tcW w:w="84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Average Earning Assets</w:t>
            </w:r>
          </w:p>
        </w:tc>
      </w:tr>
      <w:tr>
        <w:trPr/>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2Q25</w:t>
            </w:r>
          </w:p>
        </w:tc>
      </w:tr>
      <w:tr>
        <w:trPr/>
        <w:tc>
          <w:tcPr>
            <w:tcW w:w="21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at banks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64"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4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(1)</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84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4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6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4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(1)Supplemental information on loan balances is included in the accompanying table on page 16.</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Average earning assets rose $2.6 billion from the first quarter of 2026 reflecting loan growth and the purchases of investment securities predominantly in the immediately preceding quarter. The increase in average loans reflected broad-based growth in average commercial and industrial loan balances of $2.3 billion and higher average commercial real estate loan balances of $57 million, average residential real estate loan balances of $269 million and average consumer loan balances of $413 million.</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Average earning assets increased $4.7 billion from the second quarter of 2025. Average interest-bearing deposits at banks decreased $4.6 billion as liquidity was deployed to originate loans and purchase investment securities. The growth in average loans reflected higher average balances of commercial and industrial loans of $5.0 billion, including growth in loans spanning most industry types, residential real estate loans of $1.4 billion and consumer loans of $1.4 billion. Those increases were partially offset by a $1.8 billion decline in average commercial real estate loan balances, reflecting payoffs.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1"/>
        <w:gridCol w:w="774"/>
        <w:gridCol w:w="635"/>
        <w:gridCol w:w="109"/>
        <w:gridCol w:w="109"/>
        <w:gridCol w:w="109"/>
        <w:gridCol w:w="211"/>
        <w:gridCol w:w="826"/>
        <w:gridCol w:w="109"/>
        <w:gridCol w:w="109"/>
        <w:gridCol w:w="109"/>
        <w:gridCol w:w="109"/>
        <w:gridCol w:w="211"/>
        <w:gridCol w:w="826"/>
        <w:gridCol w:w="109"/>
        <w:gridCol w:w="109"/>
        <w:gridCol w:w="109"/>
        <w:gridCol w:w="109"/>
        <w:gridCol w:w="329"/>
        <w:gridCol w:w="284"/>
        <w:gridCol w:w="708"/>
        <w:gridCol w:w="109"/>
        <w:gridCol w:w="109"/>
        <w:gridCol w:w="109"/>
        <w:gridCol w:w="211"/>
        <w:gridCol w:w="826"/>
        <w:gridCol w:w="109"/>
        <w:gridCol w:w="109"/>
        <w:gridCol w:w="109"/>
        <w:gridCol w:w="109"/>
        <w:gridCol w:w="353"/>
        <w:gridCol w:w="269"/>
        <w:gridCol w:w="789"/>
      </w:tblGrid>
      <w:tr>
        <w:trPr/>
        <w:tc>
          <w:tcPr>
            <w:tcW w:w="99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Average Interest-bearing Liabilities</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2Q25</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interest-checking deposits (1)</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08"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103,934 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89"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deposits (1)</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119,560 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119,629 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118,105 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7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8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w:t>
      </w:r>
    </w:p>
    <w:p>
      <w:pPr>
        <w:pStyle w:val="TextBody"/>
        <w:bidi w:val="0"/>
        <w:spacing w:before="120" w:after="6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120" w:after="60"/>
        <w:jc w:val="left"/>
        <w:rPr>
          <w:rFonts w:ascii="Times New Roman;serif" w:hAnsi="Times New Roman;serif"/>
          <w:b w:val="false"/>
          <w:color w:val="000000"/>
          <w:sz w:val="24"/>
        </w:rPr>
      </w:pPr>
      <w:r>
        <w:rPr>
          <w:rFonts w:ascii="Times New Roman;serif" w:hAnsi="Times New Roman;serif"/>
          <w:b w:val="false"/>
          <w:color w:val="000000"/>
          <w:sz w:val="24"/>
        </w:rPr>
        <w:t>Average interest-bearing liabilities in the recent quarter rose $4.0 billion from the first quarter of 2026 reflecting an increase in average short-term borrowings from the FHLB of New York and average long-term borrowings from issuances of senior notes and securitizations.</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Average interest-bearing liabilities increased $8.0 billion from the second quarter of 2025 reflecting growth in average savings and interest-checking deposits of $1.8 billion and higher average short-term borrowings from the FHLB of New York and long-term borrowings from issuances of senior notes and securitizations.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21"/>
        <w:gridCol w:w="858"/>
        <w:gridCol w:w="862"/>
        <w:gridCol w:w="109"/>
        <w:gridCol w:w="109"/>
        <w:gridCol w:w="109"/>
        <w:gridCol w:w="211"/>
        <w:gridCol w:w="616"/>
        <w:gridCol w:w="271"/>
        <w:gridCol w:w="109"/>
        <w:gridCol w:w="109"/>
        <w:gridCol w:w="109"/>
        <w:gridCol w:w="211"/>
        <w:gridCol w:w="616"/>
        <w:gridCol w:w="271"/>
        <w:gridCol w:w="109"/>
        <w:gridCol w:w="109"/>
        <w:gridCol w:w="109"/>
        <w:gridCol w:w="294"/>
        <w:gridCol w:w="265"/>
        <w:gridCol w:w="582"/>
        <w:gridCol w:w="109"/>
        <w:gridCol w:w="109"/>
        <w:gridCol w:w="109"/>
        <w:gridCol w:w="211"/>
        <w:gridCol w:w="616"/>
        <w:gridCol w:w="271"/>
        <w:gridCol w:w="109"/>
        <w:gridCol w:w="109"/>
        <w:gridCol w:w="109"/>
        <w:gridCol w:w="278"/>
        <w:gridCol w:w="264"/>
        <w:gridCol w:w="652"/>
      </w:tblGrid>
      <w:tr>
        <w:trPr/>
        <w:tc>
          <w:tcPr>
            <w:tcW w:w="122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Provision for Credit Losses/Asset Quality</w:t>
            </w:r>
          </w:p>
        </w:tc>
      </w:tr>
      <w:tr>
        <w:trPr/>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br/>
              <w:t>2Q26 vs. 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br/>
              <w:t>2Q26 vs. 2Q25</w:t>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At 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52"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other foreclosed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nonperforming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27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Accruing loans past due 90 days or more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 as % of loans outstanding</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8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loan losses as % of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unfunded credit commitments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 the period</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unfunded credit commitments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8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charge-offs as % of average loans (annualized)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(1)Predominantly government-guaranteed residential real estate loans.</w:t>
      </w:r>
    </w:p>
    <w:p>
      <w:pPr>
        <w:pStyle w:val="TextBody"/>
        <w:bidi w:val="0"/>
        <w:spacing w:lineRule="auto" w:line="256" w:before="120" w:after="283"/>
        <w:jc w:val="left"/>
        <w:rPr/>
      </w:pPr>
      <w:r>
        <w:rPr>
          <w:rFonts w:ascii="Times New Roman;serif" w:hAnsi="Times New Roman;serif"/>
          <w:b w:val="false"/>
          <w:color w:val="000000"/>
          <w:sz w:val="24"/>
        </w:rPr>
        <w:t>The provision for credit losses was $120 million in the second quarter of 2026 as compared with $140 million in the immediately preceding quarter and $125 million in the second quarter of 2025. The allowance for loan losses as a percent of loans outstanding was 1.52% at June 30, 2026 and 1.53% at</w:t>
      </w:r>
      <w:r>
        <w:rPr>
          <w:color w:val="000000"/>
        </w:rPr>
        <w:t xml:space="preserve"> </w:t>
      </w:r>
      <w:r>
        <w:rPr>
          <w:rFonts w:ascii="Times New Roman;serif" w:hAnsi="Times New Roman;serif"/>
          <w:b w:val="false"/>
          <w:color w:val="000000"/>
          <w:sz w:val="24"/>
        </w:rPr>
        <w:t>March 31, 2026, improved from 1.61% at June 30, 2025. That improvement reflects lower levels of criticized loans.</w:t>
      </w:r>
    </w:p>
    <w:p>
      <w:pPr>
        <w:pStyle w:val="TextBody"/>
        <w:bidi w:val="0"/>
        <w:spacing w:lineRule="auto" w:line="240" w:before="120" w:after="120"/>
        <w:jc w:val="left"/>
        <w:rPr>
          <w:rFonts w:ascii="Times New Roman;serif" w:hAnsi="Times New Roman;serif"/>
          <w:b w:val="false"/>
          <w:color w:val="000000"/>
          <w:sz w:val="24"/>
        </w:rPr>
      </w:pPr>
      <w:r>
        <w:rPr>
          <w:rFonts w:ascii="Times New Roman;serif" w:hAnsi="Times New Roman;serif"/>
          <w:b w:val="false"/>
          <w:color w:val="000000"/>
          <w:sz w:val="24"/>
        </w:rPr>
        <w:t>Nonaccrual loans were $1.2 billion at each of June 30, 2026 and March 31, 2026, compared with $1.6 billion at June 30, 2025. The lower level of nonaccrual loans at June 30, 2026 and March 31, 2026 as compared with June 30, 2025 reflects a decrease in commercial and industrial and commercial real estate nonaccrual loans.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tbl>
      <w:tblPr>
        <w:tblW w:w="10205" w:type="dxa"/>
        <w:jc w:val="left"/>
        <w:tblInd w:w="0" w:type="dxa"/>
        <w:tblLayout w:type="fixed"/>
        <w:tblCellMar>
          <w:top w:w="28" w:type="dxa"/>
          <w:left w:w="28" w:type="dxa"/>
          <w:bottom w:w="28" w:type="dxa"/>
          <w:right w:w="28" w:type="dxa"/>
        </w:tblCellMar>
      </w:tblPr>
      <w:tblGrid>
        <w:gridCol w:w="1249"/>
        <w:gridCol w:w="958"/>
        <w:gridCol w:w="962"/>
        <w:gridCol w:w="109"/>
        <w:gridCol w:w="109"/>
        <w:gridCol w:w="109"/>
        <w:gridCol w:w="211"/>
        <w:gridCol w:w="466"/>
        <w:gridCol w:w="109"/>
        <w:gridCol w:w="109"/>
        <w:gridCol w:w="109"/>
        <w:gridCol w:w="109"/>
        <w:gridCol w:w="211"/>
        <w:gridCol w:w="466"/>
        <w:gridCol w:w="109"/>
        <w:gridCol w:w="109"/>
        <w:gridCol w:w="109"/>
        <w:gridCol w:w="109"/>
        <w:gridCol w:w="362"/>
        <w:gridCol w:w="322"/>
        <w:gridCol w:w="802"/>
        <w:gridCol w:w="109"/>
        <w:gridCol w:w="109"/>
        <w:gridCol w:w="109"/>
        <w:gridCol w:w="211"/>
        <w:gridCol w:w="466"/>
        <w:gridCol w:w="109"/>
        <w:gridCol w:w="109"/>
        <w:gridCol w:w="109"/>
        <w:gridCol w:w="109"/>
        <w:gridCol w:w="367"/>
        <w:gridCol w:w="303"/>
        <w:gridCol w:w="887"/>
      </w:tblGrid>
      <w:tr>
        <w:trPr/>
        <w:tc>
          <w:tcPr>
            <w:tcW w:w="124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Noninterest Income</w:t>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2Q25</w:t>
            </w:r>
          </w:p>
        </w:tc>
      </w:tr>
      <w:tr>
        <w:trPr/>
        <w:tc>
          <w:tcPr>
            <w:tcW w:w="316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revenues (1)</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8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income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0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88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services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account and other non-hedging derivative gains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80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8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bank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 from operations (2)</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0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8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(1)Supplemental information on mortgage banking activities is included in the accompanying table on page 17.</w:t>
      </w:r>
    </w:p>
    <w:p>
      <w:pPr>
        <w:pStyle w:val="TextBody"/>
        <w:bidi w:val="0"/>
        <w:spacing w:lineRule="auto" w:line="240" w:before="0" w:after="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(2)Supplemental information on other revenues from operations is included in the accompanying table on page 18.</w:t>
      </w:r>
    </w:p>
    <w:p>
      <w:pPr>
        <w:pStyle w:val="TextBody"/>
        <w:bidi w:val="0"/>
        <w:spacing w:lineRule="auto" w:line="240" w:before="120" w:after="60"/>
        <w:jc w:val="left"/>
        <w:rPr>
          <w:rFonts w:ascii="Times New Roman;serif" w:hAnsi="Times New Roman;serif"/>
          <w:b w:val="false"/>
          <w:color w:val="000000"/>
          <w:sz w:val="24"/>
        </w:rPr>
      </w:pPr>
      <w:r>
        <w:rPr>
          <w:rFonts w:ascii="Times New Roman;serif" w:hAnsi="Times New Roman;serif"/>
          <w:b w:val="false"/>
          <w:color w:val="000000"/>
          <w:sz w:val="24"/>
        </w:rPr>
        <w:t>Effective January 1, 2026, the Company elected to prospectively measure its residential mortgage loan servicing right assets at fair value with changes in fair value reflected in mortgage banking revenues. As a result, amortization associated with residential mortgage loan servicing right assets previously recognized in other costs of operations before 2026 is no longer recorded. Instead beginning in 2026, fair value changes in residential mortgage loan servicing right assets, inclusive of the realization of expected net servicing revenues over time, are included in mortgage banking revenues. On December 31, 2025, the Company began economically hedging the risk of fair value changes in these assets through the use of various interest rate derivative contracts, for which changes in fair value are also reflected in mortgage banking revenues.</w:t>
      </w:r>
    </w:p>
    <w:p>
      <w:pPr>
        <w:pStyle w:val="TextBody"/>
        <w:bidi w:val="0"/>
        <w:spacing w:before="60" w:after="283"/>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Noninterest income in the second quarter of 2026 increased $51 million, or 8%, from 2026's first quarter.</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Trust income rose $14 million reflecting higher revenues from the Company's institutional services and wealth management businesses, including seasonal tax service fees.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Trading account and other non-hedging derivative gains increased $8 million reflecting higher revenues from interest rate swap transactions with commercial customers.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Other revenues from operations increased $26 million reflecting a $47 million distribution from M&amp;T's investment in BLG in the recent quarter as compared with $33 million in the first quarter of 2026 and higher merchant discount and credit card fees.</w:t>
      </w:r>
    </w:p>
    <w:p>
      <w:pPr>
        <w:pStyle w:val="TextBody"/>
        <w:bidi w:val="0"/>
        <w:spacing w:lineRule="auto" w:line="240" w:before="60" w:after="283"/>
        <w:jc w:val="left"/>
        <w:rPr>
          <w:rFonts w:ascii="Times New Roman;serif" w:hAnsi="Times New Roman;serif"/>
          <w:b w:val="false"/>
          <w:color w:val="000000"/>
          <w:sz w:val="24"/>
        </w:rPr>
      </w:pPr>
      <w:r>
        <w:rPr>
          <w:rFonts w:ascii="Times New Roman;serif" w:hAnsi="Times New Roman;serif"/>
          <w:b w:val="false"/>
          <w:color w:val="000000"/>
          <w:sz w:val="24"/>
        </w:rPr>
        <w:t>Noninterest income rose $57 million, or 8%, as compared with the second quarter of 2025.</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Service charges on deposit accounts increased $7 million reflecting higher commercial and consumer service charges.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Trust income rose $15 million reflecting higher revenues from the Company's institutional services and wealth management businesses.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Trading account and other non-hedging derivative gains increased $10 million reflecting higher revenues from interest rate swap transactions with commercial customers.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Other revenues from operations increased $22 million reflecting a $47 million distribution from M&amp;T's investment in BLG in the recent quarter, partially offset by a $15 million gain on the sale of an out-of-footprint residential builder and developer loan portfolio and a $10 million gain on the sale of a subsidiary that specialized in institutional services each in the second quarter of 2025.</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tbl>
      <w:tblPr>
        <w:tblW w:w="10205" w:type="dxa"/>
        <w:jc w:val="left"/>
        <w:tblInd w:w="0" w:type="dxa"/>
        <w:tblLayout w:type="fixed"/>
        <w:tblCellMar>
          <w:top w:w="28" w:type="dxa"/>
          <w:left w:w="28" w:type="dxa"/>
          <w:bottom w:w="28" w:type="dxa"/>
          <w:right w:w="28" w:type="dxa"/>
        </w:tblCellMar>
      </w:tblPr>
      <w:tblGrid>
        <w:gridCol w:w="1178"/>
        <w:gridCol w:w="860"/>
        <w:gridCol w:w="864"/>
        <w:gridCol w:w="109"/>
        <w:gridCol w:w="109"/>
        <w:gridCol w:w="109"/>
        <w:gridCol w:w="211"/>
        <w:gridCol w:w="616"/>
        <w:gridCol w:w="109"/>
        <w:gridCol w:w="109"/>
        <w:gridCol w:w="109"/>
        <w:gridCol w:w="109"/>
        <w:gridCol w:w="211"/>
        <w:gridCol w:w="616"/>
        <w:gridCol w:w="109"/>
        <w:gridCol w:w="109"/>
        <w:gridCol w:w="109"/>
        <w:gridCol w:w="109"/>
        <w:gridCol w:w="349"/>
        <w:gridCol w:w="302"/>
        <w:gridCol w:w="752"/>
        <w:gridCol w:w="109"/>
        <w:gridCol w:w="109"/>
        <w:gridCol w:w="109"/>
        <w:gridCol w:w="211"/>
        <w:gridCol w:w="616"/>
        <w:gridCol w:w="109"/>
        <w:gridCol w:w="109"/>
        <w:gridCol w:w="109"/>
        <w:gridCol w:w="109"/>
        <w:gridCol w:w="337"/>
        <w:gridCol w:w="285"/>
        <w:gridCol w:w="835"/>
      </w:tblGrid>
      <w:tr>
        <w:trPr/>
        <w:tc>
          <w:tcPr>
            <w:tcW w:w="11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shd w:fill="007856"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4"/>
              </w:rPr>
              <w:t>Noninterest Expense</w:t>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 2Q26 vs. 2Q25</w:t>
            </w:r>
          </w:p>
        </w:tc>
      </w:tr>
      <w:tr>
        <w:trPr/>
        <w:tc>
          <w:tcPr>
            <w:tcW w:w="290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5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3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net occupancy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data processing and software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assessments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7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8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core deposit and other intangible assets</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8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752"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3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Noninterest expense declined $89 million, or 6%, from the first quarter of 2026. </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24"/>
        </w:rPr>
        <w:t>Salaries and employee benefits expense decreased $88 million reflecting seasonally higher stock-based compensation, payroll-related taxes and other employee benefits expense in the first quarter of 2026 and lower average staffing levels in the recent quarter, partially offset by the full-quarter impact of annual merit increases and an additional working day in the recent quarter.</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24"/>
        </w:rPr>
        <w:t>Outside data processing and software costs increased $10 million reflecting costs associated with enhancements to the Company's technology infrastructure, cybersecurity and financial recordkeeping and reporting systems.</w:t>
      </w:r>
    </w:p>
    <w:p>
      <w:pPr>
        <w:pStyle w:val="TextBody"/>
        <w:bidi w:val="0"/>
        <w:spacing w:lineRule="auto" w:line="240" w:before="60" w:after="283"/>
        <w:jc w:val="left"/>
        <w:rPr/>
      </w:pPr>
      <w:r>
        <w:rPr>
          <w:rFonts w:ascii="Times New Roman;serif" w:hAnsi="Times New Roman;serif"/>
          <w:b w:val="false"/>
          <w:color w:val="000000"/>
          <w:sz w:val="24"/>
        </w:rPr>
        <w:t>Noninterest expense increased $13 million, or 1%</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4"/>
        </w:rPr>
        <w:t>from the second quarter of 2025.</w:t>
      </w:r>
    </w:p>
    <w:p>
      <w:pPr>
        <w:pStyle w:val="TextBody"/>
        <w:bidi w:val="0"/>
        <w:spacing w:lineRule="auto" w:line="240" w:before="60" w:after="60"/>
        <w:ind w:left="0" w:right="0" w:hanging="490"/>
        <w:jc w:val="left"/>
        <w:rPr/>
      </w:pPr>
      <w:r>
        <w:rPr>
          <w:color w:val="000000"/>
        </w:rPr>
        <w:t>•</w:t>
      </w:r>
      <w:r>
        <w:rPr>
          <w:rFonts w:ascii="Times New Roman;serif" w:hAnsi="Times New Roman;serif"/>
          <w:b w:val="false"/>
          <w:color w:val="000000"/>
          <w:sz w:val="24"/>
        </w:rPr>
        <w:t>Salaries and employee benefits expense increased $13 million reflecting higher salaries expense from annual merit and other increases and a rise in incentive compensation, partially offset by lower staffing levels in the recent quarter.</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Outside data processing and software costs rose $16 million reflecting costs associated with enhancements to the Company's technology infrastructure, cybersecurity and financial recordkeeping and reporting systems.</w:t>
      </w:r>
    </w:p>
    <w:p>
      <w:pPr>
        <w:pStyle w:val="TextBody"/>
        <w:bidi w:val="0"/>
        <w:spacing w:lineRule="auto" w:line="240" w:before="60" w:after="283"/>
        <w:ind w:left="0" w:right="0" w:hanging="490"/>
        <w:jc w:val="left"/>
        <w:rPr/>
      </w:pPr>
      <w:r>
        <w:rPr>
          <w:color w:val="000000"/>
        </w:rPr>
        <w:t>•</w:t>
      </w:r>
      <w:r>
        <w:rPr>
          <w:rFonts w:ascii="Times New Roman;serif" w:hAnsi="Times New Roman;serif"/>
          <w:b w:val="false"/>
          <w:color w:val="000000"/>
          <w:sz w:val="24"/>
        </w:rPr>
        <w:t>Other costs of operations decreased $14 million reflecting the amortization associated with residential mortgage loan servicing right assets in the second quarter of 2025, partially offset by higher expense associated with the Company's supplemental executive retirement savings plan.</w:t>
      </w:r>
    </w:p>
    <w:p>
      <w:pPr>
        <w:pStyle w:val="TextBody"/>
        <w:bidi w:val="0"/>
        <w:spacing w:before="0" w:after="0"/>
        <w:ind w:left="0" w:right="0" w:hanging="130"/>
        <w:jc w:val="left"/>
        <w:rPr/>
      </w:pPr>
      <w:r>
        <w:rPr/>
      </w:r>
    </w:p>
    <w:tbl>
      <w:tblPr>
        <w:tblW w:w="1575" w:type="dxa"/>
        <w:jc w:val="left"/>
        <w:tblInd w:w="0" w:type="dxa"/>
        <w:tblLayout w:type="fixed"/>
        <w:tblCellMar>
          <w:top w:w="28" w:type="dxa"/>
          <w:left w:w="28" w:type="dxa"/>
          <w:bottom w:w="28" w:type="dxa"/>
          <w:right w:w="28" w:type="dxa"/>
        </w:tblCellMar>
      </w:tblPr>
      <w:tblGrid>
        <w:gridCol w:w="504"/>
        <w:gridCol w:w="442"/>
        <w:gridCol w:w="629"/>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Income Taxes</w:t>
            </w:r>
          </w:p>
        </w:tc>
      </w:tr>
    </w:tbl>
    <w:p>
      <w:pPr>
        <w:pStyle w:val="TextBody"/>
        <w:bidi w:val="0"/>
        <w:spacing w:lineRule="auto" w:line="240" w:before="60" w:after="283"/>
        <w:jc w:val="left"/>
        <w:rPr/>
      </w:pPr>
      <w:r>
        <w:rPr>
          <w:rFonts w:ascii="Times New Roman;serif" w:hAnsi="Times New Roman;serif"/>
          <w:b w:val="false"/>
          <w:color w:val="000000"/>
          <w:sz w:val="24"/>
        </w:rPr>
        <w:t>The Company's effective income tax rate was 23.1% in the second quarter of 2026, compared with 23.0% and 23.4%</w:t>
      </w:r>
      <w:r>
        <w:rPr>
          <w:color w:val="000000"/>
        </w:rPr>
        <w:t xml:space="preserve"> </w:t>
      </w:r>
      <w:r>
        <w:rPr>
          <w:rFonts w:ascii="Times New Roman;serif" w:hAnsi="Times New Roman;serif"/>
          <w:b w:val="false"/>
          <w:color w:val="000000"/>
          <w:sz w:val="24"/>
        </w:rPr>
        <w:t xml:space="preserve">in the first quarter of 2026 and the second quarter of 2025, respectively.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tbl>
      <w:tblPr>
        <w:tblW w:w="6273" w:type="dxa"/>
        <w:jc w:val="left"/>
        <w:tblInd w:w="0" w:type="dxa"/>
        <w:tblLayout w:type="fixed"/>
        <w:tblCellMar>
          <w:top w:w="28" w:type="dxa"/>
          <w:left w:w="28" w:type="dxa"/>
          <w:bottom w:w="28" w:type="dxa"/>
          <w:right w:w="28" w:type="dxa"/>
        </w:tblCellMar>
      </w:tblPr>
      <w:tblGrid>
        <w:gridCol w:w="850"/>
        <w:gridCol w:w="746"/>
        <w:gridCol w:w="759"/>
        <w:gridCol w:w="109"/>
        <w:gridCol w:w="109"/>
        <w:gridCol w:w="109"/>
        <w:gridCol w:w="308"/>
        <w:gridCol w:w="308"/>
        <w:gridCol w:w="310"/>
        <w:gridCol w:w="164"/>
        <w:gridCol w:w="166"/>
        <w:gridCol w:w="109"/>
        <w:gridCol w:w="308"/>
        <w:gridCol w:w="308"/>
        <w:gridCol w:w="310"/>
        <w:gridCol w:w="109"/>
        <w:gridCol w:w="109"/>
        <w:gridCol w:w="109"/>
        <w:gridCol w:w="308"/>
        <w:gridCol w:w="308"/>
        <w:gridCol w:w="357"/>
      </w:tblGrid>
      <w:tr>
        <w:trPr/>
        <w:tc>
          <w:tcPr>
            <w:tcW w:w="85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6273" w:type="dxa"/>
            <w:gridSpan w:val="21"/>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Capital and Liquidity</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2Q26</w:t>
            </w:r>
          </w:p>
        </w:tc>
        <w:tc>
          <w:tcPr>
            <w:tcW w:w="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2Q25</w:t>
            </w:r>
          </w:p>
        </w:tc>
      </w:tr>
      <w:tr>
        <w:trPr/>
        <w:tc>
          <w:tcPr>
            <w:tcW w:w="23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CET1</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31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31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35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3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31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35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capital – 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3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120"/>
        <w:ind w:left="0" w:right="0" w:hanging="495"/>
        <w:jc w:val="left"/>
        <w:rPr>
          <w:rFonts w:ascii="Times New Roman;serif" w:hAnsi="Times New Roman;serif"/>
          <w:b w:val="false"/>
          <w:color w:val="000000"/>
          <w:sz w:val="20"/>
        </w:rPr>
      </w:pPr>
      <w:r>
        <w:rPr>
          <w:rFonts w:ascii="Times New Roman;serif" w:hAnsi="Times New Roman;serif"/>
          <w:b w:val="false"/>
          <w:color w:val="000000"/>
          <w:sz w:val="20"/>
        </w:rPr>
        <w:t>(1)Capital ratios at June 30, 2026 are estimated.</w:t>
      </w:r>
    </w:p>
    <w:p>
      <w:pPr>
        <w:pStyle w:val="TextBody"/>
        <w:bidi w:val="0"/>
        <w:spacing w:lineRule="auto" w:line="240" w:before="120" w:after="283"/>
        <w:jc w:val="left"/>
        <w:rPr/>
      </w:pPr>
      <w:r>
        <w:rPr>
          <w:rFonts w:ascii="Times New Roman;serif" w:hAnsi="Times New Roman;serif"/>
          <w:b w:val="false"/>
          <w:color w:val="000000"/>
          <w:sz w:val="24"/>
        </w:rPr>
        <w:t>M&amp;T's capital ratios remained well above the minimum set forth by regulatory requirements. Cash dividends declared on M&amp;T's common and preferred stock totaled</w:t>
      </w:r>
      <w:r>
        <w:rPr>
          <w:color w:val="000000"/>
        </w:rPr>
        <w:t xml:space="preserve"> </w:t>
      </w:r>
      <w:r>
        <w:rPr>
          <w:rFonts w:ascii="Times New Roman;serif" w:hAnsi="Times New Roman;serif"/>
          <w:b w:val="false"/>
          <w:color w:val="000000"/>
          <w:sz w:val="24"/>
        </w:rPr>
        <w:t>$220 million and $35 million, respectively, for the quarter ended June 30, 2026. M&amp;T's current stress capital buffer is 2.7%.</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M&amp;T repurchased shares of its common stock at a cost of $465 million during the recent quarter, compared with $1.25 billion and $1.08 billion in the first quarter of 2026 and the second quarter of 2025, respectively.</w:t>
      </w:r>
    </w:p>
    <w:p>
      <w:pPr>
        <w:pStyle w:val="TextBody"/>
        <w:bidi w:val="0"/>
        <w:spacing w:lineRule="auto" w:line="240"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The CET1 capital ratio for M&amp;T was estimated at 10.19% as of June 30, 2026. M&amp;T's total risk-weighted assets at June 30, 2026 are estimated to be $167.9 billion. Reflecting loan growth and share repurchase activity in the recent quarter, M&amp;T's tangible common equity to tangible asset ratio at June 30, 2026 decreased 19 basis points from March 31, 2026 and 60 basis points from June 30, 2025. </w:t>
      </w:r>
    </w:p>
    <w:p>
      <w:pPr>
        <w:pStyle w:val="TextBody"/>
        <w:bidi w:val="0"/>
        <w:spacing w:lineRule="auto" w:line="240" w:before="120" w:after="60"/>
        <w:jc w:val="left"/>
        <w:rPr>
          <w:rFonts w:ascii="Times New Roman;serif" w:hAnsi="Times New Roman;serif"/>
          <w:b w:val="false"/>
          <w:color w:val="000000"/>
          <w:sz w:val="24"/>
        </w:rPr>
      </w:pPr>
      <w:r>
        <w:rPr>
          <w:rFonts w:ascii="Times New Roman;serif" w:hAnsi="Times New Roman;serif"/>
          <w:b w:val="false"/>
          <w:color w:val="000000"/>
          <w:sz w:val="24"/>
        </w:rPr>
        <w:t>While not subject to the liquidity coverage ratio ("LCR") requirements, M&amp;T estimates that its LCR on June 30, 2026 was 106%, exceeding the regulatory minimum standards that would be applicable if it were a Category III institution subject to the Category III reduced LCR requirements.</w:t>
      </w:r>
    </w:p>
    <w:p>
      <w:pPr>
        <w:pStyle w:val="TextBody"/>
        <w:bidi w:val="0"/>
        <w:spacing w:before="0" w:after="0"/>
        <w:jc w:val="left"/>
        <w:rPr/>
      </w:pPr>
      <w:r>
        <w:rPr/>
      </w:r>
    </w:p>
    <w:tbl>
      <w:tblPr>
        <w:tblW w:w="1815" w:type="dxa"/>
        <w:jc w:val="left"/>
        <w:tblInd w:w="0" w:type="dxa"/>
        <w:tblLayout w:type="fixed"/>
        <w:tblCellMar>
          <w:top w:w="28" w:type="dxa"/>
          <w:left w:w="28" w:type="dxa"/>
          <w:bottom w:w="28" w:type="dxa"/>
          <w:right w:w="28" w:type="dxa"/>
        </w:tblCellMar>
      </w:tblPr>
      <w:tblGrid>
        <w:gridCol w:w="581"/>
        <w:gridCol w:w="511"/>
        <w:gridCol w:w="723"/>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Conference Call</w:t>
            </w:r>
          </w:p>
        </w:tc>
      </w:tr>
    </w:tbl>
    <w:p>
      <w:pPr>
        <w:pStyle w:val="TextBody"/>
        <w:bidi w:val="0"/>
        <w:spacing w:lineRule="auto" w:line="240" w:before="0" w:after="60"/>
        <w:jc w:val="left"/>
        <w:rPr>
          <w:rFonts w:ascii="Times New Roman;serif" w:hAnsi="Times New Roman;serif"/>
          <w:b w:val="false"/>
          <w:color w:val="000000"/>
          <w:sz w:val="24"/>
        </w:rPr>
      </w:pPr>
      <w:r>
        <w:rPr>
          <w:rFonts w:ascii="Times New Roman;serif" w:hAnsi="Times New Roman;serif"/>
          <w:b w:val="false"/>
          <w:color w:val="000000"/>
          <w:sz w:val="24"/>
        </w:rPr>
        <w:t>Investors will have an opportunity to listen to M&amp;T's conference call to discuss second quarter financial results today at 8:00 a.m. Eastern Time. Those wishing to participate in the call may dial (800) 347-7315. International participants, using any applicable international calling codes, may dial (785) 424-1755. Callers should reference M&amp;T Bank Corporation or the conference ID #MTBQ226. The conference call will be webcast live through M&amp;T's website at https://ir.mtb.com/news-events/events-presentations. A replay of the call will be available through Wednesday July 22, 2026, by calling (800) 695-2533 or (402) 530-9029 for international participants. No conference ID or passcode is required. The event will also be archived and available by 3:00 p.m. today on M&amp;T's website at https://ir.mtb.com/news-events/events-presentations.</w:t>
      </w:r>
    </w:p>
    <w:p>
      <w:pPr>
        <w:pStyle w:val="TextBody"/>
        <w:bidi w:val="0"/>
        <w:spacing w:before="0" w:after="0"/>
        <w:jc w:val="left"/>
        <w:rPr/>
      </w:pPr>
      <w:r>
        <w:rPr/>
      </w:r>
    </w:p>
    <w:tbl>
      <w:tblPr>
        <w:tblW w:w="1454" w:type="dxa"/>
        <w:jc w:val="left"/>
        <w:tblInd w:w="0" w:type="dxa"/>
        <w:tblLayout w:type="fixed"/>
        <w:tblCellMar>
          <w:top w:w="28" w:type="dxa"/>
          <w:left w:w="28" w:type="dxa"/>
          <w:bottom w:w="28" w:type="dxa"/>
          <w:right w:w="28" w:type="dxa"/>
        </w:tblCellMar>
      </w:tblPr>
      <w:tblGrid>
        <w:gridCol w:w="464"/>
        <w:gridCol w:w="409"/>
        <w:gridCol w:w="581"/>
      </w:tblGrid>
      <w:tr>
        <w:trPr/>
        <w:tc>
          <w:tcPr>
            <w:tcW w:w="46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About M&amp;T</w:t>
            </w:r>
          </w:p>
        </w:tc>
      </w:tr>
    </w:tbl>
    <w:p>
      <w:pPr>
        <w:pStyle w:val="TextBody"/>
        <w:bidi w:val="0"/>
        <w:spacing w:lineRule="auto" w:line="240" w:before="0" w:after="60"/>
        <w:jc w:val="left"/>
        <w:rPr>
          <w:rFonts w:ascii="Times New Roman;serif" w:hAnsi="Times New Roman;serif"/>
          <w:b w:val="false"/>
          <w:color w:val="000000"/>
          <w:sz w:val="24"/>
        </w:rPr>
      </w:pPr>
      <w:r>
        <w:rPr>
          <w:rFonts w:ascii="Times New Roman;serif" w:hAnsi="Times New Roman;serif"/>
          <w:b w:val="false"/>
          <w:color w:val="000000"/>
          <w:sz w:val="24"/>
        </w:rPr>
        <w:t>M&amp;T is a financial holding company headquartered in Buffalo, New York. M&amp;T's principal banking subsidiary, M&amp;T Bank, provides banking products and services with a branch and ATM network spanning the eastern U.S. from Maine to Virginia and Washington, D.C. Trust-related services are provided in select markets in the U.S. and abroad by M&amp;T's Wilmington Trust-affiliated companies and by M&amp;T Bank. For more information on M&amp;T Bank, visit www.mtb.com.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7"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tbl>
      <w:tblPr>
        <w:tblW w:w="3180" w:type="dxa"/>
        <w:jc w:val="left"/>
        <w:tblInd w:w="0" w:type="dxa"/>
        <w:tblLayout w:type="fixed"/>
        <w:tblCellMar>
          <w:top w:w="28" w:type="dxa"/>
          <w:left w:w="28" w:type="dxa"/>
          <w:bottom w:w="28" w:type="dxa"/>
          <w:right w:w="28" w:type="dxa"/>
        </w:tblCellMar>
      </w:tblPr>
      <w:tblGrid>
        <w:gridCol w:w="1018"/>
        <w:gridCol w:w="895"/>
        <w:gridCol w:w="1267"/>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4"/>
              </w:rPr>
            </w:pPr>
            <w:r>
              <w:rPr>
                <w:rFonts w:ascii="Times New Roman;serif" w:hAnsi="Times New Roman;serif"/>
                <w:b/>
                <w:color w:val="FFFFFF"/>
                <w:sz w:val="24"/>
              </w:rPr>
              <w:t>Forward-Looking Statements</w:t>
            </w:r>
          </w:p>
        </w:tc>
      </w:tr>
    </w:tbl>
    <w:p>
      <w:pPr>
        <w:pStyle w:val="TextBody"/>
        <w:bidi w:val="0"/>
        <w:spacing w:lineRule="auto" w:line="240" w:before="120" w:after="283"/>
        <w:jc w:val="left"/>
        <w:rPr>
          <w:rFonts w:ascii="Times New Roman;serif" w:hAnsi="Times New Roman;serif"/>
          <w:b w:val="false"/>
          <w:i/>
          <w:color w:val="000000"/>
          <w:sz w:val="23"/>
        </w:rPr>
      </w:pPr>
      <w:r>
        <w:rPr>
          <w:rFonts w:ascii="Times New Roman;serif" w:hAnsi="Times New Roman;serif"/>
          <w:b w:val="false"/>
          <w:i/>
          <w:color w:val="000000"/>
          <w:sz w:val="23"/>
        </w:rPr>
        <w:t>This news release and related conference call may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M&amp;T's business, and management's beliefs and assumptions.</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developments and current conditions in the financial services industry, including trust, brokerage and investment management businesses;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M&amp;T's credit ratings; domestic or international political developments and other geopolitical events, including trade and tariff policies and international conflicts and hostilities; changes and trends in the securities markets; common shares outstanding and common stock price volatility; fair value of and number of stock-based compensation awards to be issued in future periods; the impact of changes in market values on trust-, brokerage-, and investment management-related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initiation and outcome of potential, pending and future litigation, investigations and governmental proceedings, including tax-related examinations and other matters; operational risk events, including loss resulting from fraud by employees or persons outside M&amp;T and breaches in data and cybersecurity;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w:t>
      </w:r>
    </w:p>
    <w:p>
      <w:pPr>
        <w:pStyle w:val="TextBody"/>
        <w:bidi w:val="0"/>
        <w:spacing w:lineRule="auto" w:line="240" w:before="100" w:after="283"/>
        <w:jc w:val="left"/>
        <w:rPr>
          <w:rFonts w:ascii="Times New Roman;serif" w:hAnsi="Times New Roman;serif"/>
          <w:b w:val="false"/>
          <w:i/>
          <w:color w:val="000000"/>
          <w:sz w:val="23"/>
        </w:rPr>
      </w:pPr>
      <w:r>
        <w:rPr>
          <w:rFonts w:ascii="Times New Roman;serif" w:hAnsi="Times New Roman;serif"/>
          <w:b w:val="false"/>
          <w:i/>
          <w:color w:val="000000"/>
          <w:sz w:val="23"/>
        </w:rPr>
        <w:t>M&amp;T provides further detail regarding these risks and uncertainties in its Form 10-K for the year ended December 31, 2025, including in the Risk Factors section of such report, as well as in other SEC filings. Forward-looking statements speak only as of the date they are made, and M&amp;T assumes no duty and does not undertake to update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19"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Highlights</w:t>
      </w:r>
    </w:p>
    <w:tbl>
      <w:tblPr>
        <w:tblW w:w="10205" w:type="dxa"/>
        <w:jc w:val="left"/>
        <w:tblInd w:w="0" w:type="dxa"/>
        <w:tblLayout w:type="fixed"/>
        <w:tblCellMar>
          <w:top w:w="28" w:type="dxa"/>
          <w:left w:w="28" w:type="dxa"/>
          <w:bottom w:w="28" w:type="dxa"/>
          <w:right w:w="28" w:type="dxa"/>
        </w:tblCellMar>
      </w:tblPr>
      <w:tblGrid>
        <w:gridCol w:w="1324"/>
        <w:gridCol w:w="1104"/>
        <w:gridCol w:w="1113"/>
        <w:gridCol w:w="181"/>
        <w:gridCol w:w="571"/>
        <w:gridCol w:w="226"/>
        <w:gridCol w:w="109"/>
        <w:gridCol w:w="109"/>
        <w:gridCol w:w="109"/>
        <w:gridCol w:w="181"/>
        <w:gridCol w:w="571"/>
        <w:gridCol w:w="226"/>
        <w:gridCol w:w="109"/>
        <w:gridCol w:w="109"/>
        <w:gridCol w:w="109"/>
        <w:gridCol w:w="172"/>
        <w:gridCol w:w="174"/>
        <w:gridCol w:w="284"/>
        <w:gridCol w:w="109"/>
        <w:gridCol w:w="109"/>
        <w:gridCol w:w="109"/>
        <w:gridCol w:w="181"/>
        <w:gridCol w:w="496"/>
        <w:gridCol w:w="226"/>
        <w:gridCol w:w="109"/>
        <w:gridCol w:w="109"/>
        <w:gridCol w:w="109"/>
        <w:gridCol w:w="181"/>
        <w:gridCol w:w="496"/>
        <w:gridCol w:w="226"/>
        <w:gridCol w:w="109"/>
        <w:gridCol w:w="109"/>
        <w:gridCol w:w="109"/>
        <w:gridCol w:w="150"/>
        <w:gridCol w:w="151"/>
        <w:gridCol w:w="336"/>
      </w:tblGrid>
      <w:tr>
        <w:trPr/>
        <w:tc>
          <w:tcPr>
            <w:tcW w:w="132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(Dollars in millions, except per share, shares in thousands)</w:t>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Change</w:t>
            </w:r>
          </w:p>
        </w:tc>
      </w:tr>
      <w:tr>
        <w:trPr/>
        <w:tc>
          <w:tcPr>
            <w:tcW w:w="354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r>
      <w:tr>
        <w:trPr/>
        <w:tc>
          <w:tcPr>
            <w:tcW w:w="3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Performance</w:t>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28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1,300 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3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available to common shareholders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 common share:</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Basic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3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outstanding:</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146,758 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160,005 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148,424 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162,511 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Period end</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144,933 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144,933 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3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on (annualized):</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total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common shareholders' equity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Taxable-equivalent net interest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3,429 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3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Yield on average earning assets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Cost of interest-bearing liabilities (1)</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spread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 of interest-free funds (1)</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charge-offs to average total net loans (annualized)</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Net operating results (2)</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operating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33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net operating earnings per common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on (annualized):</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common equity</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18.57 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16.52 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Efficiency ratio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At June 30,</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Loan quality</w:t>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Change</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Real estate and other foreclosed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nonperforming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Accruing loans past due 90 days or more</w:t>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603 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496 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Government guaranteed loans included in totals above:</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Accruing loans past due 90 days or more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 to total loans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Allowance for loan losses to total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Additional information</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Period end common stock price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238.01 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193.99 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Full-service domestic banking offices (3)</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28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Full-time equivalent employees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0" w:after="0"/>
        <w:ind w:left="0" w:right="0" w:hanging="245"/>
        <w:jc w:val="left"/>
        <w:rPr>
          <w:rFonts w:ascii="Times New Roman;serif" w:hAnsi="Times New Roman;serif"/>
          <w:b w:val="false"/>
          <w:color w:val="000000"/>
          <w:sz w:val="13"/>
        </w:rPr>
      </w:pPr>
      <w:r>
        <w:rPr>
          <w:rFonts w:ascii="Times New Roman;serif" w:hAnsi="Times New Roman;serif"/>
          <w:b w:val="false"/>
          <w:color w:val="000000"/>
          <w:sz w:val="13"/>
        </w:rPr>
        <w:t>(1)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w:t>
      </w:r>
    </w:p>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(2) Excludes amortization and balances related to goodwill and core deposit and other intangible assets and merger-related expenses which, except in the calculation of the efficiency ratio, are net </w:t>
      </w:r>
    </w:p>
    <w:p>
      <w:pPr>
        <w:pStyle w:val="TextBody"/>
        <w:bidi w:val="0"/>
        <w:spacing w:lineRule="auto" w:line="240" w:before="0" w:after="0"/>
        <w:jc w:val="left"/>
        <w:rPr/>
      </w:pPr>
      <w:r>
        <w:rPr>
          <w:rFonts w:ascii="Times New Roman;serif" w:hAnsi="Times New Roman;serif"/>
          <w:b w:val="false"/>
          <w:color w:val="000000"/>
          <w:sz w:val="13"/>
        </w:rPr>
        <w:t xml:space="preserve">of applicable income tax effects. Reconciliations of net income with net operating income appear on page </w:t>
      </w:r>
      <w:hyperlink w:anchor="id05149ac86594cd79a5efbd04d23709b_10">
        <w:r>
          <w:rPr>
            <w:rStyle w:val="InternetLink"/>
            <w:rFonts w:ascii="Times New Roman;serif" w:hAnsi="Times New Roman;serif"/>
            <w:b w:val="false"/>
            <w:strike w:val="false"/>
            <w:dstrike w:val="false"/>
            <w:color w:val="000000"/>
            <w:sz w:val="13"/>
            <w:u w:val="none"/>
            <w:effect w:val="none"/>
          </w:rPr>
          <w:t>19</w:t>
        </w:r>
      </w:hyperlink>
      <w:r>
        <w:rPr>
          <w:rFonts w:ascii="Times New Roman;serif" w:hAnsi="Times New Roman;serif"/>
          <w:b w:val="false"/>
          <w:color w:val="000000"/>
          <w:sz w:val="13"/>
        </w:rPr>
        <w:t>.</w:t>
      </w:r>
    </w:p>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(3) In the first quarter of 2026, thirteen domestic branches formerly classified as full service were designated as limited service per regulatory filings. </w:t>
      </w:r>
    </w:p>
    <w:p>
      <w:pPr>
        <w:pStyle w:val="TextBody"/>
        <w:bidi w:val="0"/>
        <w:ind w:left="0" w:right="0" w:hanging="144"/>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1"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Highlights, Five Quarter Trend</w:t>
      </w:r>
    </w:p>
    <w:tbl>
      <w:tblPr>
        <w:tblW w:w="10188" w:type="dxa"/>
        <w:jc w:val="left"/>
        <w:tblInd w:w="0" w:type="dxa"/>
        <w:tblLayout w:type="fixed"/>
        <w:tblCellMar>
          <w:top w:w="28" w:type="dxa"/>
          <w:left w:w="28" w:type="dxa"/>
          <w:bottom w:w="28" w:type="dxa"/>
          <w:right w:w="28" w:type="dxa"/>
        </w:tblCellMar>
      </w:tblPr>
      <w:tblGrid>
        <w:gridCol w:w="1427"/>
        <w:gridCol w:w="1254"/>
        <w:gridCol w:w="1264"/>
        <w:gridCol w:w="181"/>
        <w:gridCol w:w="571"/>
        <w:gridCol w:w="226"/>
        <w:gridCol w:w="109"/>
        <w:gridCol w:w="109"/>
        <w:gridCol w:w="109"/>
        <w:gridCol w:w="181"/>
        <w:gridCol w:w="571"/>
        <w:gridCol w:w="226"/>
        <w:gridCol w:w="109"/>
        <w:gridCol w:w="109"/>
        <w:gridCol w:w="109"/>
        <w:gridCol w:w="181"/>
        <w:gridCol w:w="571"/>
        <w:gridCol w:w="226"/>
        <w:gridCol w:w="109"/>
        <w:gridCol w:w="109"/>
        <w:gridCol w:w="109"/>
        <w:gridCol w:w="181"/>
        <w:gridCol w:w="571"/>
        <w:gridCol w:w="226"/>
        <w:gridCol w:w="109"/>
        <w:gridCol w:w="109"/>
        <w:gridCol w:w="109"/>
        <w:gridCol w:w="181"/>
        <w:gridCol w:w="571"/>
        <w:gridCol w:w="271"/>
      </w:tblGrid>
      <w:tr>
        <w:trPr/>
        <w:tc>
          <w:tcPr>
            <w:tcW w:w="142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Three Months Ended</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(Dollars in millions, except per share, shares in thousands)</w:t>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Performance</w:t>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716 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available to common shareholders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 common share:</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Basic earnings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shares outstanding:</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146,758 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150,109 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153,712 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156,553 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Period end</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144,933 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146,917 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151,840 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154,518 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156,532 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on (annualized):</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total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common shareholders' equity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Taxable-equivalent net interest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Yield on average earning assets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Cost of interest-bearing liabilities (1)</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spread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Contribution of interest-free funds (1)</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margin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charge-offs to average total net loans (annualized)</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Net operating results (2)</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operating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net operating earnings per common share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Return on (annualized):</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common equity</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18.57 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15.54 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Efficiency ratio</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Loan quality</w:t>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Real estate and other foreclosed assets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nonperforming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Accruing loans past due 90 days or more</w:t>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603 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646 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561 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432 </w:t>
            </w:r>
          </w:p>
        </w:tc>
        <w:tc>
          <w:tcPr>
            <w:tcW w:w="226"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496 </w:t>
            </w:r>
          </w:p>
        </w:tc>
        <w:tc>
          <w:tcPr>
            <w:tcW w:w="271" w:type="dxa"/>
            <w:tcBorders>
              <w:top w:val="doub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Government guaranteed loans included in totals above:</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Accruing loans past due 90 days or more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Nonaccrual loans to total loans</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1.10 </w:t>
            </w:r>
          </w:p>
        </w:tc>
        <w:tc>
          <w:tcPr>
            <w:tcW w:w="2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1.16 </w:t>
            </w:r>
          </w:p>
        </w:tc>
        <w:tc>
          <w:tcPr>
            <w:tcW w:w="27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Allowance for loan losses to total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Additional information</w:t>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Period end common stock price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238.01 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197.62 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Full-service domestic banking offices (3)</w:t>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941 </w:t>
            </w:r>
          </w:p>
        </w:tc>
        <w:tc>
          <w:tcPr>
            <w:tcW w:w="27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Full-time equivalent employees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22,383 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40" w:after="283"/>
        <w:ind w:left="0" w:right="0" w:hanging="245"/>
        <w:jc w:val="left"/>
        <w:rPr>
          <w:rFonts w:ascii="Times New Roman;serif" w:hAnsi="Times New Roman;serif"/>
          <w:b w:val="false"/>
          <w:color w:val="000000"/>
          <w:sz w:val="13"/>
        </w:rPr>
      </w:pPr>
      <w:r>
        <w:rPr>
          <w:rFonts w:ascii="Times New Roman;serif" w:hAnsi="Times New Roman;serif"/>
          <w:b w:val="false"/>
          <w:color w:val="000000"/>
          <w:sz w:val="13"/>
        </w:rPr>
        <w:t>(1)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w:t>
      </w:r>
    </w:p>
    <w:p>
      <w:pPr>
        <w:pStyle w:val="TextBody"/>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 xml:space="preserve">(2) Excludes amortization and balances related to goodwill and core deposit and other intangible assets and merger-related expenses which, except in the calculation of the efficiency ratio, are net </w:t>
      </w:r>
    </w:p>
    <w:p>
      <w:pPr>
        <w:pStyle w:val="TextBody"/>
        <w:bidi w:val="0"/>
        <w:spacing w:lineRule="auto" w:line="240" w:before="0" w:after="0"/>
        <w:jc w:val="left"/>
        <w:rPr/>
      </w:pPr>
      <w:r>
        <w:rPr>
          <w:rFonts w:ascii="Times New Roman;serif" w:hAnsi="Times New Roman;serif"/>
          <w:b w:val="false"/>
          <w:color w:val="000000"/>
          <w:sz w:val="13"/>
        </w:rPr>
        <w:t xml:space="preserve">of applicable income tax effects. Reconciliations of net income with net operating income appear on page </w:t>
      </w:r>
      <w:hyperlink w:anchor="id05149ac86594cd79a5efbd04d23709b_13">
        <w:r>
          <w:rPr>
            <w:rStyle w:val="InternetLink"/>
            <w:rFonts w:ascii="Times New Roman;serif" w:hAnsi="Times New Roman;serif"/>
            <w:b w:val="false"/>
            <w:strike w:val="false"/>
            <w:dstrike w:val="false"/>
            <w:color w:val="000000"/>
            <w:sz w:val="13"/>
            <w:u w:val="none"/>
            <w:effect w:val="none"/>
          </w:rPr>
          <w:t>20</w:t>
        </w:r>
      </w:hyperlink>
      <w:r>
        <w:rPr>
          <w:rFonts w:ascii="Times New Roman;serif" w:hAnsi="Times New Roman;serif"/>
          <w:b w:val="false"/>
          <w:color w:val="000000"/>
          <w:sz w:val="13"/>
        </w:rPr>
        <w:t>.</w:t>
      </w:r>
    </w:p>
    <w:p>
      <w:pPr>
        <w:pStyle w:val="TextBody"/>
        <w:bidi w:val="0"/>
        <w:spacing w:lineRule="auto" w:line="240" w:before="0" w:after="0"/>
        <w:ind w:left="0" w:right="0" w:hanging="245"/>
        <w:jc w:val="left"/>
        <w:rPr>
          <w:rFonts w:ascii="Times New Roman;serif" w:hAnsi="Times New Roman;serif"/>
          <w:b w:val="false"/>
          <w:color w:val="000000"/>
          <w:sz w:val="13"/>
        </w:rPr>
      </w:pPr>
      <w:r>
        <w:rPr>
          <w:rFonts w:ascii="Times New Roman;serif" w:hAnsi="Times New Roman;serif"/>
          <w:b w:val="false"/>
          <w:color w:val="000000"/>
          <w:sz w:val="13"/>
        </w:rPr>
        <w:t xml:space="preserve">(3) In the first quarter of 2026, thirteen domestic branches formerly classified as full service were designated as limited service per regulatory filings. </w:t>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 of Income</w:t>
      </w:r>
    </w:p>
    <w:tbl>
      <w:tblPr>
        <w:tblW w:w="10205" w:type="dxa"/>
        <w:jc w:val="left"/>
        <w:tblInd w:w="0" w:type="dxa"/>
        <w:tblLayout w:type="fixed"/>
        <w:tblCellMar>
          <w:top w:w="28" w:type="dxa"/>
          <w:left w:w="28" w:type="dxa"/>
          <w:bottom w:w="28" w:type="dxa"/>
          <w:right w:w="28" w:type="dxa"/>
        </w:tblCellMar>
      </w:tblPr>
      <w:tblGrid>
        <w:gridCol w:w="1027"/>
        <w:gridCol w:w="696"/>
        <w:gridCol w:w="699"/>
        <w:gridCol w:w="211"/>
        <w:gridCol w:w="616"/>
        <w:gridCol w:w="109"/>
        <w:gridCol w:w="109"/>
        <w:gridCol w:w="109"/>
        <w:gridCol w:w="109"/>
        <w:gridCol w:w="211"/>
        <w:gridCol w:w="616"/>
        <w:gridCol w:w="109"/>
        <w:gridCol w:w="109"/>
        <w:gridCol w:w="109"/>
        <w:gridCol w:w="109"/>
        <w:gridCol w:w="233"/>
        <w:gridCol w:w="233"/>
        <w:gridCol w:w="408"/>
        <w:gridCol w:w="109"/>
        <w:gridCol w:w="109"/>
        <w:gridCol w:w="109"/>
        <w:gridCol w:w="211"/>
        <w:gridCol w:w="616"/>
        <w:gridCol w:w="109"/>
        <w:gridCol w:w="109"/>
        <w:gridCol w:w="109"/>
        <w:gridCol w:w="109"/>
        <w:gridCol w:w="211"/>
        <w:gridCol w:w="616"/>
        <w:gridCol w:w="109"/>
        <w:gridCol w:w="109"/>
        <w:gridCol w:w="109"/>
        <w:gridCol w:w="109"/>
        <w:gridCol w:w="210"/>
        <w:gridCol w:w="211"/>
        <w:gridCol w:w="408"/>
        <w:gridCol w:w="109"/>
        <w:gridCol w:w="109"/>
        <w:gridCol w:w="109"/>
        <w:gridCol w:w="109"/>
        <w:gridCol w:w="109"/>
        <w:gridCol w:w="156"/>
      </w:tblGrid>
      <w:tr>
        <w:trPr/>
        <w:tc>
          <w:tcPr>
            <w:tcW w:w="10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revenues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income</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services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Trading account and other non-hedging </w:t>
              <w:br/>
              <w:t>derivative gains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bank 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 from operations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net occupancy</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data processing and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other services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assessments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core deposit and other </w:t>
              <w:br/>
              <w:t>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8"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8"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 of Income, Five Quarter Trend</w:t>
      </w:r>
    </w:p>
    <w:tbl>
      <w:tblPr>
        <w:tblW w:w="10205" w:type="dxa"/>
        <w:jc w:val="left"/>
        <w:tblInd w:w="0" w:type="dxa"/>
        <w:tblLayout w:type="fixed"/>
        <w:tblCellMar>
          <w:top w:w="28" w:type="dxa"/>
          <w:left w:w="28" w:type="dxa"/>
          <w:bottom w:w="28" w:type="dxa"/>
          <w:right w:w="28" w:type="dxa"/>
        </w:tblCellMar>
      </w:tblPr>
      <w:tblGrid>
        <w:gridCol w:w="1354"/>
        <w:gridCol w:w="1114"/>
        <w:gridCol w:w="1118"/>
        <w:gridCol w:w="211"/>
        <w:gridCol w:w="616"/>
        <w:gridCol w:w="109"/>
        <w:gridCol w:w="109"/>
        <w:gridCol w:w="109"/>
        <w:gridCol w:w="109"/>
        <w:gridCol w:w="211"/>
        <w:gridCol w:w="616"/>
        <w:gridCol w:w="109"/>
        <w:gridCol w:w="109"/>
        <w:gridCol w:w="109"/>
        <w:gridCol w:w="109"/>
        <w:gridCol w:w="270"/>
        <w:gridCol w:w="792"/>
        <w:gridCol w:w="141"/>
        <w:gridCol w:w="109"/>
        <w:gridCol w:w="109"/>
        <w:gridCol w:w="109"/>
        <w:gridCol w:w="281"/>
        <w:gridCol w:w="822"/>
        <w:gridCol w:w="145"/>
        <w:gridCol w:w="109"/>
        <w:gridCol w:w="109"/>
        <w:gridCol w:w="109"/>
        <w:gridCol w:w="211"/>
        <w:gridCol w:w="616"/>
        <w:gridCol w:w="161"/>
      </w:tblGrid>
      <w:tr>
        <w:trPr/>
        <w:tc>
          <w:tcPr>
            <w:tcW w:w="135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4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2,609 </w:t>
            </w:r>
          </w:p>
        </w:tc>
        <w:tc>
          <w:tcPr>
            <w:tcW w:w="16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4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6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4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6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revenues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income</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services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Trading account and other non-hedging </w:t>
              <w:br/>
              <w:t>derivative gains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bank 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 from operations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4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net occupancy</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data processing and software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other services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assessments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core deposit and other </w:t>
              <w:br/>
              <w:t>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costs of operations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4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4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4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4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6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4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45"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16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Balance Sheet</w:t>
      </w:r>
    </w:p>
    <w:tbl>
      <w:tblPr>
        <w:tblW w:w="7879" w:type="dxa"/>
        <w:jc w:val="left"/>
        <w:tblInd w:w="0" w:type="dxa"/>
        <w:tblLayout w:type="fixed"/>
        <w:tblCellMar>
          <w:top w:w="28" w:type="dxa"/>
          <w:left w:w="28" w:type="dxa"/>
          <w:bottom w:w="28" w:type="dxa"/>
          <w:right w:w="28" w:type="dxa"/>
        </w:tblCellMar>
      </w:tblPr>
      <w:tblGrid>
        <w:gridCol w:w="1452"/>
        <w:gridCol w:w="1274"/>
        <w:gridCol w:w="1278"/>
        <w:gridCol w:w="211"/>
        <w:gridCol w:w="826"/>
        <w:gridCol w:w="109"/>
        <w:gridCol w:w="109"/>
        <w:gridCol w:w="109"/>
        <w:gridCol w:w="109"/>
        <w:gridCol w:w="211"/>
        <w:gridCol w:w="826"/>
        <w:gridCol w:w="109"/>
        <w:gridCol w:w="109"/>
        <w:gridCol w:w="109"/>
        <w:gridCol w:w="109"/>
        <w:gridCol w:w="232"/>
        <w:gridCol w:w="234"/>
        <w:gridCol w:w="463"/>
      </w:tblGrid>
      <w:tr>
        <w:trPr/>
        <w:tc>
          <w:tcPr>
            <w:tcW w:w="145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6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at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residential</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143,193 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loan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loans</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and other intangible assets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and other liabilities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219,261 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211,584 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6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Consolidated Balance Sheet, Five Quarter Trend </w:t>
      </w:r>
    </w:p>
    <w:tbl>
      <w:tblPr>
        <w:tblW w:w="10205" w:type="dxa"/>
        <w:jc w:val="left"/>
        <w:tblInd w:w="0" w:type="dxa"/>
        <w:tblLayout w:type="fixed"/>
        <w:tblCellMar>
          <w:top w:w="28" w:type="dxa"/>
          <w:left w:w="28" w:type="dxa"/>
          <w:bottom w:w="28" w:type="dxa"/>
          <w:right w:w="28" w:type="dxa"/>
        </w:tblCellMar>
      </w:tblPr>
      <w:tblGrid>
        <w:gridCol w:w="1202"/>
        <w:gridCol w:w="890"/>
        <w:gridCol w:w="868"/>
        <w:gridCol w:w="211"/>
        <w:gridCol w:w="826"/>
        <w:gridCol w:w="109"/>
        <w:gridCol w:w="109"/>
        <w:gridCol w:w="109"/>
        <w:gridCol w:w="109"/>
        <w:gridCol w:w="211"/>
        <w:gridCol w:w="826"/>
        <w:gridCol w:w="109"/>
        <w:gridCol w:w="109"/>
        <w:gridCol w:w="109"/>
        <w:gridCol w:w="109"/>
        <w:gridCol w:w="220"/>
        <w:gridCol w:w="867"/>
        <w:gridCol w:w="114"/>
        <w:gridCol w:w="109"/>
        <w:gridCol w:w="109"/>
        <w:gridCol w:w="109"/>
        <w:gridCol w:w="228"/>
        <w:gridCol w:w="899"/>
        <w:gridCol w:w="119"/>
        <w:gridCol w:w="109"/>
        <w:gridCol w:w="109"/>
        <w:gridCol w:w="109"/>
        <w:gridCol w:w="211"/>
        <w:gridCol w:w="826"/>
        <w:gridCol w:w="161"/>
      </w:tblGrid>
      <w:tr>
        <w:trPr/>
        <w:tc>
          <w:tcPr>
            <w:tcW w:w="120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 at banks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36,649 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36,864 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35,568 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65,391 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63,548 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61,887 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61,660 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commercial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residential</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24,874 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24,662 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24,117 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143,193 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139,914 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138,702 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136,974 </w:t>
            </w:r>
          </w:p>
        </w:tc>
        <w:tc>
          <w:tcPr>
            <w:tcW w:w="11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136,116 </w:t>
            </w:r>
          </w:p>
        </w:tc>
        <w:tc>
          <w:tcPr>
            <w:tcW w:w="16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loan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loans</w:t>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137,778 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136,586 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134,813 </w:t>
            </w:r>
          </w:p>
        </w:tc>
        <w:tc>
          <w:tcPr>
            <w:tcW w:w="11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133,919 </w:t>
            </w:r>
          </w:p>
        </w:tc>
        <w:tc>
          <w:tcPr>
            <w:tcW w:w="16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and other intangible assets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213,510 </w:t>
            </w:r>
          </w:p>
        </w:tc>
        <w:tc>
          <w:tcPr>
            <w:tcW w:w="11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211,277 </w:t>
            </w:r>
          </w:p>
        </w:tc>
        <w:tc>
          <w:tcPr>
            <w:tcW w:w="11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211,584 </w:t>
            </w:r>
          </w:p>
        </w:tc>
        <w:tc>
          <w:tcPr>
            <w:tcW w:w="161"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6"/>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deposits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120,400 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118,432 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116,968 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164,453 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and other liabilities</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4,155 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4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w:t>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26,343 </w:t>
            </w:r>
          </w:p>
        </w:tc>
        <w:tc>
          <w:tcPr>
            <w:tcW w:w="11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26,334 </w:t>
            </w:r>
          </w:p>
        </w:tc>
        <w:tc>
          <w:tcPr>
            <w:tcW w:w="11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26,131 </w:t>
            </w:r>
          </w:p>
        </w:tc>
        <w:tc>
          <w:tcPr>
            <w:tcW w:w="16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219,261 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214,736 </w:t>
            </w:r>
          </w:p>
        </w:tc>
        <w:tc>
          <w:tcPr>
            <w:tcW w:w="10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213,510 </w:t>
            </w:r>
          </w:p>
        </w:tc>
        <w:tc>
          <w:tcPr>
            <w:tcW w:w="114"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211,277 </w:t>
            </w:r>
          </w:p>
        </w:tc>
        <w:tc>
          <w:tcPr>
            <w:tcW w:w="119"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211,584 </w:t>
            </w:r>
          </w:p>
        </w:tc>
        <w:tc>
          <w:tcPr>
            <w:tcW w:w="161" w:type="dxa"/>
            <w:tcBorders>
              <w:top w:val="single" w:sz="8"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3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Average Balance Sheet and Annualized Taxable-equivalent Rates</w:t>
      </w:r>
    </w:p>
    <w:tbl>
      <w:tblPr>
        <w:tblW w:w="16771" w:type="dxa"/>
        <w:jc w:val="left"/>
        <w:tblInd w:w="0" w:type="dxa"/>
        <w:tblLayout w:type="fixed"/>
        <w:tblCellMar>
          <w:top w:w="28" w:type="dxa"/>
          <w:left w:w="28" w:type="dxa"/>
          <w:bottom w:w="28" w:type="dxa"/>
          <w:right w:w="28" w:type="dxa"/>
        </w:tblCellMar>
      </w:tblPr>
      <w:tblGrid>
        <w:gridCol w:w="749"/>
        <w:gridCol w:w="659"/>
        <w:gridCol w:w="648"/>
        <w:gridCol w:w="181"/>
        <w:gridCol w:w="616"/>
        <w:gridCol w:w="109"/>
        <w:gridCol w:w="109"/>
        <w:gridCol w:w="109"/>
        <w:gridCol w:w="109"/>
        <w:gridCol w:w="202"/>
        <w:gridCol w:w="204"/>
        <w:gridCol w:w="211"/>
        <w:gridCol w:w="109"/>
        <w:gridCol w:w="109"/>
        <w:gridCol w:w="109"/>
        <w:gridCol w:w="181"/>
        <w:gridCol w:w="616"/>
        <w:gridCol w:w="109"/>
        <w:gridCol w:w="109"/>
        <w:gridCol w:w="109"/>
        <w:gridCol w:w="109"/>
        <w:gridCol w:w="195"/>
        <w:gridCol w:w="196"/>
        <w:gridCol w:w="211"/>
        <w:gridCol w:w="109"/>
        <w:gridCol w:w="109"/>
        <w:gridCol w:w="109"/>
        <w:gridCol w:w="181"/>
        <w:gridCol w:w="616"/>
        <w:gridCol w:w="109"/>
        <w:gridCol w:w="109"/>
        <w:gridCol w:w="109"/>
        <w:gridCol w:w="109"/>
        <w:gridCol w:w="195"/>
        <w:gridCol w:w="196"/>
        <w:gridCol w:w="211"/>
        <w:gridCol w:w="109"/>
        <w:gridCol w:w="109"/>
        <w:gridCol w:w="109"/>
        <w:gridCol w:w="203"/>
        <w:gridCol w:w="203"/>
        <w:gridCol w:w="318"/>
        <w:gridCol w:w="109"/>
        <w:gridCol w:w="109"/>
        <w:gridCol w:w="109"/>
        <w:gridCol w:w="202"/>
        <w:gridCol w:w="204"/>
        <w:gridCol w:w="274"/>
        <w:gridCol w:w="109"/>
        <w:gridCol w:w="109"/>
        <w:gridCol w:w="109"/>
        <w:gridCol w:w="181"/>
        <w:gridCol w:w="616"/>
        <w:gridCol w:w="109"/>
        <w:gridCol w:w="109"/>
        <w:gridCol w:w="109"/>
        <w:gridCol w:w="109"/>
        <w:gridCol w:w="202"/>
        <w:gridCol w:w="204"/>
        <w:gridCol w:w="211"/>
        <w:gridCol w:w="109"/>
        <w:gridCol w:w="109"/>
        <w:gridCol w:w="109"/>
        <w:gridCol w:w="181"/>
        <w:gridCol w:w="616"/>
        <w:gridCol w:w="109"/>
        <w:gridCol w:w="327"/>
        <w:gridCol w:w="391"/>
        <w:gridCol w:w="211"/>
        <w:gridCol w:w="327"/>
        <w:gridCol w:w="406"/>
        <w:gridCol w:w="276"/>
        <w:gridCol w:w="109"/>
        <w:gridCol w:w="109"/>
        <w:gridCol w:w="109"/>
        <w:gridCol w:w="109"/>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Change in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 2026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(Dollars 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ASSETS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 at banks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15,061 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16,231 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19,698 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318"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27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15,642 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19,697 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7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securities (1) (2)</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Loans:</w:t>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and industrial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 estate - commercial (1)</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23,553 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23,496 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23,525 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 estate - residential</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26,719 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26,306 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6.48 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26,514 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24,856 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loans (1)</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(1)</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earning assets (1)</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Core deposit and other intangible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11,172 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w:t>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Savings and interest-checking </w:t>
              <w:br/>
              <w:t>      deposits (1)</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Time deposits (1)</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14,171 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13,435 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14,140 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interest-bearing deposits (1)</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Short-term borrowings</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8,016 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5,695 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6,862 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Long-term borrowings (1)</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interest-bearing liabilities (1)</w:t>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140,354 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136,388 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132,368 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138,382 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131,090 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Noninterest-bearing deposits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 (1)</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4,074 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4,081 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Shareholders' equity</w:t>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27,939 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28,648 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28,666 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3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28,291 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28,831 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27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 and shareholders' equity</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interest spread (1)</w:t>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2.81 </w:t>
            </w:r>
          </w:p>
        </w:tc>
        <w:tc>
          <w:tcPr>
            <w:tcW w:w="21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 of interest-free funds (1)</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interest margin (1)</w:t>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3.70 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3.64 </w:t>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40" w:after="283"/>
        <w:ind w:left="0" w:right="0" w:hanging="245"/>
        <w:jc w:val="left"/>
        <w:rPr>
          <w:rFonts w:ascii="Times New Roman;serif" w:hAnsi="Times New Roman;serif"/>
          <w:b w:val="false"/>
          <w:color w:val="000000"/>
          <w:sz w:val="13"/>
        </w:rPr>
      </w:pPr>
      <w:r>
        <w:rPr>
          <w:rFonts w:ascii="Times New Roman;serif" w:hAnsi="Times New Roman;serif"/>
          <w:b w:val="false"/>
          <w:color w:val="000000"/>
          <w:sz w:val="13"/>
        </w:rPr>
        <w:t>(1)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w:t>
      </w:r>
    </w:p>
    <w:p>
      <w:pPr>
        <w:pStyle w:val="TextBody"/>
        <w:bidi w:val="0"/>
        <w:spacing w:lineRule="auto" w:line="240" w:before="0" w:after="0"/>
        <w:ind w:left="0" w:right="0" w:hanging="245"/>
        <w:jc w:val="left"/>
        <w:rPr>
          <w:rFonts w:ascii="Times New Roman;serif" w:hAnsi="Times New Roman;serif"/>
          <w:b w:val="false"/>
          <w:color w:val="000000"/>
          <w:sz w:val="13"/>
        </w:rPr>
      </w:pPr>
      <w:r>
        <w:rPr>
          <w:rFonts w:ascii="Times New Roman;serif" w:hAnsi="Times New Roman;serif"/>
          <w:b w:val="false"/>
          <w:color w:val="000000"/>
          <w:sz w:val="13"/>
        </w:rPr>
        <w:t xml:space="preserve">(2) Yields on investment securities for the three-month and six-month periods ended June 30, 2025 reflect $20 million and $18 million, respectively, of lower taxable-equivalent interest income resulting from an alignment of amortization periods for certain municipal bonds obtained from the acquisition of People's United Financial, Inc.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3"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Supplemental Information - Loan Balances </w:t>
      </w:r>
    </w:p>
    <w:tbl>
      <w:tblPr>
        <w:tblW w:w="9994" w:type="dxa"/>
        <w:jc w:val="left"/>
        <w:tblInd w:w="0" w:type="dxa"/>
        <w:tblLayout w:type="fixed"/>
        <w:tblCellMar>
          <w:top w:w="28" w:type="dxa"/>
          <w:left w:w="28" w:type="dxa"/>
          <w:bottom w:w="28" w:type="dxa"/>
          <w:right w:w="28" w:type="dxa"/>
        </w:tblCellMar>
      </w:tblPr>
      <w:tblGrid>
        <w:gridCol w:w="1204"/>
        <w:gridCol w:w="1061"/>
        <w:gridCol w:w="1064"/>
        <w:gridCol w:w="196"/>
        <w:gridCol w:w="736"/>
        <w:gridCol w:w="109"/>
        <w:gridCol w:w="109"/>
        <w:gridCol w:w="109"/>
        <w:gridCol w:w="109"/>
        <w:gridCol w:w="196"/>
        <w:gridCol w:w="736"/>
        <w:gridCol w:w="109"/>
        <w:gridCol w:w="109"/>
        <w:gridCol w:w="109"/>
        <w:gridCol w:w="109"/>
        <w:gridCol w:w="203"/>
        <w:gridCol w:w="764"/>
        <w:gridCol w:w="113"/>
        <w:gridCol w:w="109"/>
        <w:gridCol w:w="109"/>
        <w:gridCol w:w="109"/>
        <w:gridCol w:w="208"/>
        <w:gridCol w:w="784"/>
        <w:gridCol w:w="117"/>
        <w:gridCol w:w="109"/>
        <w:gridCol w:w="109"/>
        <w:gridCol w:w="109"/>
        <w:gridCol w:w="196"/>
        <w:gridCol w:w="73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Commercial and industrial</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Commercial and industrial excluding </w:t>
              <w:br/>
              <w:t>   owner-occupied real estate by industry:</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and insurance</w:t>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12,794 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12,084 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12,138 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Motor vehicle and recreational finance dealers</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7,191 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6,637 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Wholesale </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 communications, utilities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3,114 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Health services</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investors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commercial and industrial </w:t>
              <w:br/>
              <w:t>   excluding owner-occupied real estate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50,826 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Owner-occupied real estate by industry:</w:t>
            </w:r>
          </w:p>
        </w:tc>
        <w:tc>
          <w:tcPr>
            <w:tcW w:w="1041"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Motor vehicle and recreational finance dealers</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Retail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Health services</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Wholesale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Manufacturing</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investors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owner-occupied real estate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and industrial</w:t>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66,143 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65,391 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63,548 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61,887 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61,660 </w:t>
            </w:r>
          </w:p>
        </w:tc>
        <w:tc>
          <w:tcPr>
            <w:tcW w:w="15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Commercial real estate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Permanent finance by property type:</w:t>
            </w:r>
          </w:p>
        </w:tc>
        <w:tc>
          <w:tcPr>
            <w:tcW w:w="10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Apartments/Multifamily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Retail/Service</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4,320 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4,435 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Industrial/Warehouse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Office</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3,487 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Hotel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Health Services</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permanent</w:t>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20,030 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20,192 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20,062 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20,155 </w:t>
            </w:r>
          </w:p>
        </w:tc>
        <w:tc>
          <w:tcPr>
            <w:tcW w:w="15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w:t>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24,492 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23,819 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24,046 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24,567 </w:t>
            </w:r>
          </w:p>
        </w:tc>
        <w:tc>
          <w:tcPr>
            <w:tcW w:w="15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Residential real estate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real estate</w:t>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24,874 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24,662 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24,117 </w:t>
            </w:r>
          </w:p>
        </w:tc>
        <w:tc>
          <w:tcPr>
            <w:tcW w:w="15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Consumer</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 lines and loans</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4,807 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4,634 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Recreational finance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5,167 </w:t>
            </w:r>
          </w:p>
        </w:tc>
        <w:tc>
          <w:tcPr>
            <w:tcW w:w="11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5,223 </w:t>
            </w:r>
          </w:p>
        </w:tc>
        <w:tc>
          <w:tcPr>
            <w:tcW w:w="11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5,260 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27,174 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26,321 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26,461 </w:t>
            </w:r>
          </w:p>
        </w:tc>
        <w:tc>
          <w:tcPr>
            <w:tcW w:w="11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26,379 </w:t>
            </w:r>
          </w:p>
        </w:tc>
        <w:tc>
          <w:tcPr>
            <w:tcW w:w="11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25,772 </w:t>
            </w:r>
          </w:p>
        </w:tc>
        <w:tc>
          <w:tcPr>
            <w:tcW w:w="15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138,702 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136,974 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 Mortgage Banking Activities</w:t>
      </w:r>
    </w:p>
    <w:tbl>
      <w:tblPr>
        <w:tblW w:w="10205" w:type="dxa"/>
        <w:jc w:val="left"/>
        <w:tblInd w:w="0" w:type="dxa"/>
        <w:tblLayout w:type="fixed"/>
        <w:tblCellMar>
          <w:top w:w="28" w:type="dxa"/>
          <w:left w:w="28" w:type="dxa"/>
          <w:bottom w:w="28" w:type="dxa"/>
          <w:right w:w="28" w:type="dxa"/>
        </w:tblCellMar>
      </w:tblPr>
      <w:tblGrid>
        <w:gridCol w:w="916"/>
        <w:gridCol w:w="644"/>
        <w:gridCol w:w="649"/>
        <w:gridCol w:w="196"/>
        <w:gridCol w:w="421"/>
        <w:gridCol w:w="109"/>
        <w:gridCol w:w="109"/>
        <w:gridCol w:w="109"/>
        <w:gridCol w:w="109"/>
        <w:gridCol w:w="219"/>
        <w:gridCol w:w="473"/>
        <w:gridCol w:w="123"/>
        <w:gridCol w:w="109"/>
        <w:gridCol w:w="109"/>
        <w:gridCol w:w="109"/>
        <w:gridCol w:w="212"/>
        <w:gridCol w:w="359"/>
        <w:gridCol w:w="120"/>
        <w:gridCol w:w="109"/>
        <w:gridCol w:w="109"/>
        <w:gridCol w:w="109"/>
        <w:gridCol w:w="164"/>
        <w:gridCol w:w="167"/>
        <w:gridCol w:w="256"/>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200"/>
        <w:gridCol w:w="206"/>
        <w:gridCol w:w="304"/>
      </w:tblGrid>
      <w:tr>
        <w:trPr/>
        <w:tc>
          <w:tcPr>
            <w:tcW w:w="91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Residential mortgage banking revenues</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loans originated for sale</w:t>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0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servicing:</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servicing fees</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0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Changes in fair value of mortgage loan </w:t>
              <w:br/>
              <w:t>   servicing right assets, net of hedging activities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sub-servicing and other fees</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2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0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 servicing</w:t>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mortgage banking revenues</w:t>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23"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0"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5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4"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commitments to originate loans for sale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9799" w:type="dxa"/>
        <w:jc w:val="left"/>
        <w:tblInd w:w="0" w:type="dxa"/>
        <w:tblLayout w:type="fixed"/>
        <w:tblCellMar>
          <w:top w:w="28" w:type="dxa"/>
          <w:left w:w="28" w:type="dxa"/>
          <w:bottom w:w="28" w:type="dxa"/>
          <w:right w:w="28" w:type="dxa"/>
        </w:tblCellMar>
      </w:tblPr>
      <w:tblGrid>
        <w:gridCol w:w="1123"/>
        <w:gridCol w:w="987"/>
        <w:gridCol w:w="995"/>
        <w:gridCol w:w="196"/>
        <w:gridCol w:w="736"/>
        <w:gridCol w:w="109"/>
        <w:gridCol w:w="109"/>
        <w:gridCol w:w="109"/>
        <w:gridCol w:w="109"/>
        <w:gridCol w:w="196"/>
        <w:gridCol w:w="736"/>
        <w:gridCol w:w="109"/>
        <w:gridCol w:w="109"/>
        <w:gridCol w:w="109"/>
        <w:gridCol w:w="109"/>
        <w:gridCol w:w="205"/>
        <w:gridCol w:w="774"/>
        <w:gridCol w:w="115"/>
        <w:gridCol w:w="109"/>
        <w:gridCol w:w="109"/>
        <w:gridCol w:w="109"/>
        <w:gridCol w:w="211"/>
        <w:gridCol w:w="795"/>
        <w:gridCol w:w="118"/>
        <w:gridCol w:w="109"/>
        <w:gridCol w:w="109"/>
        <w:gridCol w:w="109"/>
        <w:gridCol w:w="196"/>
        <w:gridCol w:w="73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Balances at period end</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1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to originate loans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to sell loans</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1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mortgage loan servicing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serviced for others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sub-serviced for others</w:t>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183,599 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156,938 </w:t>
            </w:r>
          </w:p>
        </w:tc>
        <w:tc>
          <w:tcPr>
            <w:tcW w:w="11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161,785 </w:t>
            </w:r>
          </w:p>
        </w:tc>
        <w:tc>
          <w:tcPr>
            <w:tcW w:w="118"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157,608 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serviced for others</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192,811 </w:t>
            </w:r>
          </w:p>
        </w:tc>
        <w:tc>
          <w:tcPr>
            <w:tcW w:w="11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198,206 </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194,560 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8"/>
        <w:gridCol w:w="481"/>
        <w:gridCol w:w="485"/>
        <w:gridCol w:w="196"/>
        <w:gridCol w:w="421"/>
        <w:gridCol w:w="109"/>
        <w:gridCol w:w="109"/>
        <w:gridCol w:w="109"/>
        <w:gridCol w:w="109"/>
        <w:gridCol w:w="196"/>
        <w:gridCol w:w="556"/>
        <w:gridCol w:w="109"/>
        <w:gridCol w:w="109"/>
        <w:gridCol w:w="109"/>
        <w:gridCol w:w="109"/>
        <w:gridCol w:w="196"/>
        <w:gridCol w:w="454"/>
        <w:gridCol w:w="109"/>
        <w:gridCol w:w="109"/>
        <w:gridCol w:w="109"/>
        <w:gridCol w:w="109"/>
        <w:gridCol w:w="195"/>
        <w:gridCol w:w="196"/>
        <w:gridCol w:w="256"/>
        <w:gridCol w:w="109"/>
        <w:gridCol w:w="109"/>
        <w:gridCol w:w="109"/>
        <w:gridCol w:w="196"/>
        <w:gridCol w:w="556"/>
        <w:gridCol w:w="109"/>
        <w:gridCol w:w="109"/>
        <w:gridCol w:w="109"/>
        <w:gridCol w:w="109"/>
        <w:gridCol w:w="196"/>
        <w:gridCol w:w="556"/>
        <w:gridCol w:w="109"/>
        <w:gridCol w:w="109"/>
        <w:gridCol w:w="109"/>
        <w:gridCol w:w="109"/>
        <w:gridCol w:w="196"/>
        <w:gridCol w:w="454"/>
        <w:gridCol w:w="109"/>
        <w:gridCol w:w="109"/>
        <w:gridCol w:w="109"/>
        <w:gridCol w:w="109"/>
        <w:gridCol w:w="202"/>
        <w:gridCol w:w="204"/>
        <w:gridCol w:w="302"/>
      </w:tblGrid>
      <w:tr>
        <w:trPr/>
        <w:tc>
          <w:tcPr>
            <w:tcW w:w="76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u w:val="single"/>
              </w:rPr>
            </w:pPr>
            <w:r>
              <w:rPr>
                <w:rFonts w:ascii="Times New Roman;serif" w:hAnsi="Times New Roman;serif"/>
                <w:b/>
                <w:color w:val="000000"/>
                <w:sz w:val="18"/>
                <w:u w:val="single"/>
              </w:rPr>
              <w:t>Commercial mortgage banking revenues</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loans originated for sale</w:t>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2" w:type="dxa"/>
            <w:tcBorders/>
            <w:shd w:fill="E5F1EE"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servicing fees and 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E5F1EE"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mortgage banking revenues</w:t>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4" w:space="0" w:color="FFFFFF"/>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4"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2" w:type="dxa"/>
            <w:tcBorders>
              <w:top w:val="single" w:sz="4" w:space="0" w:color="000000"/>
            </w:tcBorders>
            <w:shd w:fill="E5F1EE"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originated for sale to other investors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9531" w:type="dxa"/>
        <w:jc w:val="left"/>
        <w:tblInd w:w="0" w:type="dxa"/>
        <w:tblLayout w:type="fixed"/>
        <w:tblCellMar>
          <w:top w:w="28" w:type="dxa"/>
          <w:left w:w="28" w:type="dxa"/>
          <w:bottom w:w="28" w:type="dxa"/>
          <w:right w:w="28" w:type="dxa"/>
        </w:tblCellMar>
      </w:tblPr>
      <w:tblGrid>
        <w:gridCol w:w="1123"/>
        <w:gridCol w:w="987"/>
        <w:gridCol w:w="995"/>
        <w:gridCol w:w="196"/>
        <w:gridCol w:w="646"/>
        <w:gridCol w:w="109"/>
        <w:gridCol w:w="109"/>
        <w:gridCol w:w="109"/>
        <w:gridCol w:w="109"/>
        <w:gridCol w:w="196"/>
        <w:gridCol w:w="646"/>
        <w:gridCol w:w="109"/>
        <w:gridCol w:w="109"/>
        <w:gridCol w:w="109"/>
        <w:gridCol w:w="109"/>
        <w:gridCol w:w="225"/>
        <w:gridCol w:w="743"/>
        <w:gridCol w:w="127"/>
        <w:gridCol w:w="109"/>
        <w:gridCol w:w="109"/>
        <w:gridCol w:w="109"/>
        <w:gridCol w:w="231"/>
        <w:gridCol w:w="764"/>
        <w:gridCol w:w="130"/>
        <w:gridCol w:w="109"/>
        <w:gridCol w:w="109"/>
        <w:gridCol w:w="109"/>
        <w:gridCol w:w="196"/>
        <w:gridCol w:w="64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Balances at period end</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2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to originate loans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to sell loans</w:t>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2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mortgage loan servicing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serviced for others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sub-serviced for others</w:t>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4,072 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4,231 </w:t>
            </w:r>
          </w:p>
        </w:tc>
        <w:tc>
          <w:tcPr>
            <w:tcW w:w="12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4,297 </w:t>
            </w:r>
          </w:p>
        </w:tc>
        <w:tc>
          <w:tcPr>
            <w:tcW w:w="13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4,209 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serviced for others</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34,540 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33,254 </w:t>
            </w:r>
          </w:p>
        </w:tc>
        <w:tc>
          <w:tcPr>
            <w:tcW w:w="1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32,625 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Supplemental Information - Other Revenues from Operations</w:t>
      </w:r>
    </w:p>
    <w:tbl>
      <w:tblPr>
        <w:tblW w:w="10205" w:type="dxa"/>
        <w:jc w:val="left"/>
        <w:tblInd w:w="0" w:type="dxa"/>
        <w:tblLayout w:type="fixed"/>
        <w:tblCellMar>
          <w:top w:w="28" w:type="dxa"/>
          <w:left w:w="28" w:type="dxa"/>
          <w:bottom w:w="28" w:type="dxa"/>
          <w:right w:w="28" w:type="dxa"/>
        </w:tblCellMar>
      </w:tblPr>
      <w:tblGrid>
        <w:gridCol w:w="872"/>
        <w:gridCol w:w="645"/>
        <w:gridCol w:w="649"/>
        <w:gridCol w:w="196"/>
        <w:gridCol w:w="421"/>
        <w:gridCol w:w="109"/>
        <w:gridCol w:w="109"/>
        <w:gridCol w:w="109"/>
        <w:gridCol w:w="109"/>
        <w:gridCol w:w="220"/>
        <w:gridCol w:w="474"/>
        <w:gridCol w:w="124"/>
        <w:gridCol w:w="109"/>
        <w:gridCol w:w="109"/>
        <w:gridCol w:w="109"/>
        <w:gridCol w:w="212"/>
        <w:gridCol w:w="359"/>
        <w:gridCol w:w="120"/>
        <w:gridCol w:w="109"/>
        <w:gridCol w:w="109"/>
        <w:gridCol w:w="109"/>
        <w:gridCol w:w="203"/>
        <w:gridCol w:w="203"/>
        <w:gridCol w:w="256"/>
        <w:gridCol w:w="109"/>
        <w:gridCol w:w="109"/>
        <w:gridCol w:w="109"/>
        <w:gridCol w:w="196"/>
        <w:gridCol w:w="421"/>
        <w:gridCol w:w="109"/>
        <w:gridCol w:w="109"/>
        <w:gridCol w:w="109"/>
        <w:gridCol w:w="109"/>
        <w:gridCol w:w="196"/>
        <w:gridCol w:w="421"/>
        <w:gridCol w:w="109"/>
        <w:gridCol w:w="109"/>
        <w:gridCol w:w="109"/>
        <w:gridCol w:w="109"/>
        <w:gridCol w:w="212"/>
        <w:gridCol w:w="359"/>
        <w:gridCol w:w="120"/>
        <w:gridCol w:w="109"/>
        <w:gridCol w:w="109"/>
        <w:gridCol w:w="109"/>
        <w:gridCol w:w="200"/>
        <w:gridCol w:w="206"/>
        <w:gridCol w:w="304"/>
      </w:tblGrid>
      <w:tr>
        <w:trPr/>
        <w:tc>
          <w:tcPr>
            <w:tcW w:w="87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216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Letter of credit and other credit-related fees</w:t>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4"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discount and credit card fees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owned life insurance revenue</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operating lease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BLG income</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2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revenues from operations</w:t>
            </w:r>
          </w:p>
        </w:tc>
        <w:tc>
          <w:tcPr>
            <w:tcW w:w="196"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24"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0"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0"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4"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9014" w:type="dxa"/>
        <w:jc w:val="left"/>
        <w:tblInd w:w="0" w:type="dxa"/>
        <w:tblLayout w:type="fixed"/>
        <w:tblCellMar>
          <w:top w:w="28" w:type="dxa"/>
          <w:left w:w="28" w:type="dxa"/>
          <w:bottom w:w="28" w:type="dxa"/>
          <w:right w:w="28" w:type="dxa"/>
        </w:tblCellMar>
      </w:tblPr>
      <w:tblGrid>
        <w:gridCol w:w="1138"/>
        <w:gridCol w:w="1002"/>
        <w:gridCol w:w="1009"/>
        <w:gridCol w:w="196"/>
        <w:gridCol w:w="421"/>
        <w:gridCol w:w="109"/>
        <w:gridCol w:w="109"/>
        <w:gridCol w:w="109"/>
        <w:gridCol w:w="109"/>
        <w:gridCol w:w="226"/>
        <w:gridCol w:w="487"/>
        <w:gridCol w:w="127"/>
        <w:gridCol w:w="109"/>
        <w:gridCol w:w="109"/>
        <w:gridCol w:w="109"/>
        <w:gridCol w:w="295"/>
        <w:gridCol w:w="635"/>
        <w:gridCol w:w="165"/>
        <w:gridCol w:w="109"/>
        <w:gridCol w:w="109"/>
        <w:gridCol w:w="109"/>
        <w:gridCol w:w="303"/>
        <w:gridCol w:w="652"/>
        <w:gridCol w:w="170"/>
        <w:gridCol w:w="109"/>
        <w:gridCol w:w="109"/>
        <w:gridCol w:w="109"/>
        <w:gridCol w:w="196"/>
        <w:gridCol w:w="421"/>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r>
          </w:p>
        </w:tc>
      </w:tr>
      <w:tr>
        <w:trPr/>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14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Letter of credit and other credit-related fees</w:t>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7"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5"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70"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discount and credit card fees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owned life insurance revenue</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operating lease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BLG income</w:t>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2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revenues from operations</w:t>
            </w:r>
          </w:p>
        </w:tc>
        <w:tc>
          <w:tcPr>
            <w:tcW w:w="196"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27"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65"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70"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54" w:type="dxa"/>
            <w:tcBorders>
              <w:top w:val="single" w:sz="4" w:space="0" w:color="000000"/>
              <w:bottom w:val="double" w:sz="8" w:space="0" w:color="000000"/>
            </w:tcBorders>
            <w:shd w:fill="E5F1EE"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Supplemental Information - Interest Rate Swap Agreements</w:t>
      </w:r>
    </w:p>
    <w:tbl>
      <w:tblPr>
        <w:tblW w:w="10205" w:type="dxa"/>
        <w:jc w:val="left"/>
        <w:tblInd w:w="0" w:type="dxa"/>
        <w:tblLayout w:type="fixed"/>
        <w:tblCellMar>
          <w:top w:w="28" w:type="dxa"/>
          <w:left w:w="28" w:type="dxa"/>
          <w:bottom w:w="28" w:type="dxa"/>
          <w:right w:w="28" w:type="dxa"/>
        </w:tblCellMar>
      </w:tblPr>
      <w:tblGrid>
        <w:gridCol w:w="730"/>
        <w:gridCol w:w="642"/>
        <w:gridCol w:w="356"/>
        <w:gridCol w:w="207"/>
        <w:gridCol w:w="397"/>
        <w:gridCol w:w="270"/>
        <w:gridCol w:w="109"/>
        <w:gridCol w:w="109"/>
        <w:gridCol w:w="109"/>
        <w:gridCol w:w="228"/>
        <w:gridCol w:w="439"/>
        <w:gridCol w:w="301"/>
        <w:gridCol w:w="109"/>
        <w:gridCol w:w="109"/>
        <w:gridCol w:w="109"/>
        <w:gridCol w:w="222"/>
        <w:gridCol w:w="427"/>
        <w:gridCol w:w="290"/>
        <w:gridCol w:w="109"/>
        <w:gridCol w:w="109"/>
        <w:gridCol w:w="109"/>
        <w:gridCol w:w="212"/>
        <w:gridCol w:w="407"/>
        <w:gridCol w:w="277"/>
        <w:gridCol w:w="109"/>
        <w:gridCol w:w="109"/>
        <w:gridCol w:w="109"/>
        <w:gridCol w:w="207"/>
        <w:gridCol w:w="397"/>
        <w:gridCol w:w="270"/>
        <w:gridCol w:w="109"/>
        <w:gridCol w:w="109"/>
        <w:gridCol w:w="109"/>
        <w:gridCol w:w="228"/>
        <w:gridCol w:w="439"/>
        <w:gridCol w:w="301"/>
        <w:gridCol w:w="109"/>
        <w:gridCol w:w="109"/>
        <w:gridCol w:w="109"/>
        <w:gridCol w:w="221"/>
        <w:gridCol w:w="424"/>
        <w:gridCol w:w="351"/>
      </w:tblGrid>
      <w:tr>
        <w:trPr/>
        <w:tc>
          <w:tcPr>
            <w:tcW w:w="7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billions)</w:t>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Fair value hedges:</w:t>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w:t>
            </w:r>
          </w:p>
        </w:tc>
        <w:tc>
          <w:tcPr>
            <w:tcW w:w="207"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5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hedges:</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w:t>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27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5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Forward-starting</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Fair value hedges - </w:t>
              <w:br/>
              <w:t>   weighted-average fixed rate:</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w:t>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70"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30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90"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77"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70"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30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351"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2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 hedges - </w:t>
              <w:br/>
              <w:t>   weighted-average fixed rate:</w:t>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w:t>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29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277"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270"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30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51"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Forward-starting</w:t>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9"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 descr=""/>
                          <pic:cNvPicPr>
                            <a:picLocks noChangeAspect="1" noChangeArrowheads="1"/>
                          </pic:cNvPicPr>
                        </pic:nvPicPr>
                        <pic:blipFill>
                          <a:blip r:embed="rId20"/>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Quarterly GAAP to Non-GAAP Measures</w:t>
      </w:r>
    </w:p>
    <w:tbl>
      <w:tblPr>
        <w:tblW w:w="9364" w:type="dxa"/>
        <w:jc w:val="left"/>
        <w:tblInd w:w="0" w:type="dxa"/>
        <w:tblLayout w:type="fixed"/>
        <w:tblCellMar>
          <w:top w:w="28" w:type="dxa"/>
          <w:left w:w="28" w:type="dxa"/>
          <w:bottom w:w="28" w:type="dxa"/>
          <w:right w:w="28" w:type="dxa"/>
        </w:tblCellMar>
      </w:tblPr>
      <w:tblGrid>
        <w:gridCol w:w="1335"/>
        <w:gridCol w:w="1175"/>
        <w:gridCol w:w="1180"/>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 except per share)</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Income statement data</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core deposit and other intangible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income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common share</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common share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core deposit and other intangible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operating earnings per common share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expense</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operating expense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Efficiency ratio</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operating expense (numerator)</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Taxable-equivalent net interest income</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3,567 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Gain (loss) on bank 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4,990 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Balance sheet data</w:t>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assets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assets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210,261 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215,186 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209,296 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deposit and other 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tangible assets</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208,033 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201,733 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206,684 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common equity</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equity</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common equity</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25,786 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deposit and other 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tangible common equity</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17,006 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 end of quarter</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tangible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203,060 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common equity</w:t>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tangible common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17,016 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rFonts w:ascii="Times New Roman;serif" w:hAnsi="Times New Roman;serif"/>
          <w:b w:val="false"/>
          <w:color w:val="000000"/>
          <w:sz w:val="13"/>
        </w:rPr>
      </w:pPr>
      <w:r>
        <w:rPr>
          <w:rFonts w:ascii="Times New Roman;serif" w:hAnsi="Times New Roman;serif"/>
          <w:b w:val="false"/>
          <w:color w:val="000000"/>
          <w:sz w:val="13"/>
        </w:rPr>
        <w:t>(1) After any related tax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1"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6566" w:type="dxa"/>
        <w:jc w:val="left"/>
        <w:tblInd w:w="0" w:type="dxa"/>
        <w:tblLayout w:type="fixed"/>
        <w:tblCellMar>
          <w:top w:w="28" w:type="dxa"/>
          <w:left w:w="28" w:type="dxa"/>
          <w:bottom w:w="28" w:type="dxa"/>
          <w:right w:w="28" w:type="dxa"/>
        </w:tblCellMar>
      </w:tblPr>
      <w:tblGrid>
        <w:gridCol w:w="1439"/>
        <w:gridCol w:w="1265"/>
        <w:gridCol w:w="1267"/>
        <w:gridCol w:w="759"/>
        <w:gridCol w:w="759"/>
        <w:gridCol w:w="1077"/>
      </w:tblGrid>
      <w:tr>
        <w:trPr/>
        <w:tc>
          <w:tcPr>
            <w:tcW w:w="143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971" w:type="dxa"/>
            <w:gridSpan w:val="3"/>
            <w:tcBorders/>
            <w:shd w:fill="007856"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57450" cy="285750"/>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2457450" cy="285750"/>
                          </a:xfrm>
                          <a:prstGeom prst="rect">
                            <a:avLst/>
                          </a:prstGeom>
                        </pic:spPr>
                      </pic:pic>
                    </a:graphicData>
                  </a:graphic>
                </wp:inline>
              </w:drawing>
            </w:r>
          </w:p>
        </w:tc>
        <w:tc>
          <w:tcPr>
            <w:tcW w:w="2595" w:type="dxa"/>
            <w:gridSpan w:val="3"/>
            <w:tcBorders/>
            <w:shd w:fill="00785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FFFFF"/>
                <w:sz w:val="20"/>
              </w:rPr>
            </w:pPr>
            <w:r>
              <w:rPr>
                <w:rFonts w:ascii="Times New Roman;serif" w:hAnsi="Times New Roman;serif"/>
                <w:b/>
                <w:color w:val="FFFFFF"/>
                <w:sz w:val="20"/>
              </w:rPr>
              <w:t>Second Quarter 2026 Results</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 of Quarterly GAAP to Non-GAAP Measures, Five Quarter Trend</w:t>
      </w:r>
    </w:p>
    <w:tbl>
      <w:tblPr>
        <w:tblW w:w="10205" w:type="dxa"/>
        <w:jc w:val="left"/>
        <w:tblInd w:w="0" w:type="dxa"/>
        <w:tblLayout w:type="fixed"/>
        <w:tblCellMar>
          <w:top w:w="28" w:type="dxa"/>
          <w:left w:w="28" w:type="dxa"/>
          <w:bottom w:w="28" w:type="dxa"/>
          <w:right w:w="28" w:type="dxa"/>
        </w:tblCellMar>
      </w:tblPr>
      <w:tblGrid>
        <w:gridCol w:w="1312"/>
        <w:gridCol w:w="1134"/>
        <w:gridCol w:w="113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73"/>
      </w:tblGrid>
      <w:tr>
        <w:trPr/>
        <w:tc>
          <w:tcPr>
            <w:tcW w:w="131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Three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2025</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(Dollars in millions, except per share)</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Income statement data</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income</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664 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716 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core deposit and other intangible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operating income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724 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Earnings per common share</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 per common share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4.24 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core deposit and other intangible assets (1)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Diluted net operating earnings per common share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4.28 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Other expense</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expense</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1,336 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operating expense</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1,327 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Efficiency ratio</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operating expense (numerator)</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1,327 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Taxable-equivalent net interest income</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1,804 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1,763 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1,773 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1,722 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income</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696 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683 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Less: Gain (loss) on bank 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Denominator</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2,448 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2,485 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2,524 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2,405 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Efficiency ratio</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52.8 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58.3 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53.6 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55.2 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u w:val="single"/>
              </w:rPr>
            </w:pPr>
            <w:r>
              <w:rPr>
                <w:rFonts w:ascii="Times New Roman;serif" w:hAnsi="Times New Roman;serif"/>
                <w:b/>
                <w:color w:val="000000"/>
                <w:sz w:val="15"/>
                <w:u w:val="single"/>
              </w:rPr>
              <w:t>Balance sheet data</w:t>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Average assets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assets</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216,532 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213,828 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212,891 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211,053 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210,261 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deposit and other 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assets</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208,033 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205,323 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204,379 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202,533 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201,733 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Average common equity</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total equity</w:t>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27,939 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28,648 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28,970 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28,583 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28,666 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common equity</w:t>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25,505 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26,072 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26,279 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26,189 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26,272 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deposit and other intangible assets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Average tangible common equity</w:t>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17,006 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17,767 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17,669 </w:t>
            </w:r>
          </w:p>
        </w:tc>
        <w:tc>
          <w:tcPr>
            <w:tcW w:w="226"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E5F1EE"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17,744 </w:t>
            </w:r>
          </w:p>
        </w:tc>
        <w:tc>
          <w:tcPr>
            <w:tcW w:w="273" w:type="dxa"/>
            <w:tcBorders>
              <w:top w:val="single" w:sz="8" w:space="0" w:color="000000"/>
            </w:tcBorders>
            <w:shd w:fill="E5F1EE"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At end of quarter</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assets</w:t>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219,261 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214,736 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213,510 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211,277 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211,584 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tangible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210,765 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206,234 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205,001 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202,761 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203,060 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common equity</w:t>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E5F1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equity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28,525 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Preferred stock</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(2,834)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(2,394)</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(2,394)</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Common equity</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25,538 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26,343 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26,334 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26,131 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(8,465)</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Core deposit and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E5F1E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w:t>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226"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5F1EE"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273" w:type="dxa"/>
            <w:tcBorders/>
            <w:shd w:fill="E5F1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tangible common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17,016 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17,036 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17,834 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17,818 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17,607 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40" w:before="40" w:after="283"/>
        <w:ind w:left="0" w:right="0" w:hanging="490"/>
        <w:jc w:val="left"/>
        <w:rPr>
          <w:rFonts w:ascii="Times New Roman;serif" w:hAnsi="Times New Roman;serif"/>
          <w:b w:val="false"/>
          <w:color w:val="000000"/>
          <w:sz w:val="13"/>
        </w:rPr>
      </w:pPr>
      <w:r>
        <w:rPr>
          <w:rFonts w:ascii="Times New Roman;serif" w:hAnsi="Times New Roman;serif"/>
          <w:b w:val="false"/>
          <w:color w:val="000000"/>
          <w:sz w:val="13"/>
        </w:rPr>
        <w:t>(1) After any related tax effect.</w:t>
      </w:r>
    </w:p>
    <w:p>
      <w:pPr>
        <w:pStyle w:val="TextBody"/>
        <w:bidi w:val="0"/>
        <w:spacing w:before="0" w:after="0"/>
        <w:jc w:val="center"/>
        <w:rPr/>
      </w:pPr>
      <w:bookmarkStart w:id="0" w:name="a2q26earningspresentatio.htm"/>
      <w:bookmarkStart w:id="1" w:name="ksa2q26earningspresentatio"/>
      <w:bookmarkEnd w:id="0"/>
      <w:bookmarkEnd w:id="1"/>
      <w:r>
        <w:rPr/>
        <w:drawing>
          <wp:inline distT="0" distB="0" distL="0" distR="0">
            <wp:extent cx="9753600" cy="548640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jc w:val="center"/>
        <w:rPr>
          <w:color w:val="FFFFFF"/>
          <w:sz w:val="2"/>
        </w:rPr>
      </w:pPr>
      <w:r>
        <w:rPr>
          <w:color w:val="FFFFFF"/>
          <w:sz w:val="2"/>
        </w:rPr>
        <w:t xml:space="preserve">Earnings Results 2nd Quarter 2026 July 15,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may contain forward-looking statements regarding M&amp;T Bank Corporation (“M&amp;T”) within the meaning of the Private Securities Litigation Reform Act of 1995 and the rules and regulations of the Securities and Exchange Commission (“SEC”). Any statement that does not describe historical or current facts is a forward-looking statement, including statements based on current expectations, estimates and projections about M&amp;T's business, and management's beliefs and assumptions. 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 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 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developments and current conditions in the financial services industry, including trust, brokerage and investment management businesses; changes in interest rates, spreads on earning assets and interest-bearing liabilities, and interest rate sensitivity; prepayment speeds, loan originations, loan concentrations by type and industry, credit losses and market values on loans, collateral securing loans, and other assets; sources of liquidity; levels of client deposits; ability to contain costs and expenses; changes in M&amp;T's credit ratings; domestic or international political developments and other geopolitical events, including trade and tariff policies and international conflicts and hostilities; changes and trends in the securities markets; common shares outstanding and common stock price volatility; fair value of and number of stock-based compensation awards to be issued in future periods; the impact of changes in market values on trust-, brokerage-, and investment management-related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initiation and outcome of potential, pending and future litigation, investigations and governmental proceedings, including tax-related examinations and other matters; operational risk events, including loss resulting from fraud by employees or persons outside M&amp;T and breaches in data and cybersecurity;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 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 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 M&amp;T provides further detail regarding these risks and uncertainties in its Form 10-K for the year ended December 31, 2025, including in the Risk Factors section of such report, as well as in other SEC filings. Forward-looking statements speak only as of the date they are made, and M&amp;T assumes no duty and does not undertake to update forward-looking statements. Annualized, pro forma, projected, and estimated numbers are used for illustrative purposes only, are not forecasts and may not reflect actual results. This presentation also contains financial information and performance measures determined by methods other than in accordance with accounting principles generally accepted in the United States ("GAAP"). Management believes investors may find these non-GAAP financial measures useful. These disclosures should not be viewed as a substitute for financial measures determined in accordance with GAAP, nor are they necessarily comparable to non-GAAP performance measures that may be presented by other companies. Please see the Appendix for reconciliation of GAAP with corresponding non- GAAP measures, as indicated in the presentation. Forward-Looking Statements and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M&amp;T Bank Purpose To make a difference in people’s lives by knowing them, growing with them and connecting them with everything they need to thrive. Vision To be the bank invited into homes, businesses and communities, by earning trust and deepening relationships with every interaction. We are committed to Our Customers We deepen relationships through local knowledge, trusted advice and the full strength of M&amp;T. Our Communities We create lasting value by showing up for the communities we serve. Our Colleagues We invest in our people because they are how customers experience M&amp;T. Our Shareholders We build long-term value through disciplined execution, resilience and relationships that grow over time.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Operational Excellence Alignment and integration across markets, lines of business and platform capabilities will accelerate regional bank growth. 4 2026 Enterprise Priorities Teaming for Growth • Make it easy for clients to do business with us • Ensure all markets and clients experience us as one bank • Empower leaders to lead across businesses • Win in the markets and businesses where we operate • Drive more integration and collaboration in service of growth Deliver industry-leading service, scale and value through intelligent, simplified operations that empower the businesses and clients we support and help us to maintain and improve the bank’s profitability. • Build scalable infrastructure that enables sustainable growth • Deliver consistent, fast and customer centric experiences across the enterprise • Drive operational efficiency while maintaining quality and risk standards • Strengthen critical skills and leadership capabilities for a modern organization • Grow revenue per employee through productivity and capacity redeployment • Faster completion of essential processes • Improve customer satisfaction scores • Enhanced employee engagement results regarding tools and resources needed to do the job • Primary checking account and deposit growth • New England regions lead in deposit and loan growth • Increased revenue per Relationship Manager • Increase Wealth referral volume and penetration • Top 5 SBA ranking in New England markets • Increased Mortgage Originations Objectives Objectives Outcomes Outcomes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Awards and Accolades Received 13 “Best Bank” Awards across Small Business and Middle-Market Categories The Most Powerful Women in Finance: Meghan Shue, Wilmington Trust The Most Powerful Women in Banking’s Top Teams: Wilmington Trust 2025 All-America Executive Team Received #1 Ranking among Large Cap Banks and Placed in the Top 10 across All U.S. Banks Jennifer Warren, CEO, Wilmington Trust CEO of the Year Clearing &amp; Custodial Firms Received #1 Ranking among U.S. Companies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 Diluted EPS increased +29% QoQ and +25% YoY • Return on Assets increased +25 bps QoQ and +14 bps YoY • Return on Common Equity increased +263 bps QoQ and +191 bps YoY • Net Interest Margin increased +8 bps YoY Notable items ($ in millions, except per share) 2Q26 1Q26 2Q25 Amt(2) EPS Amt(2) EPS Amt(2) EPS Premium amortization for acquired securities(3) — — — — ($17) ($0.09) Gain on sale of out-of- footprint loan portfolio(4) — — — — 15 0.07 Gain on sale of institutional services subsidiary(4) — — — — 10 0.04 Second Quarter 2026 Earnings Highlights GAAP ($ in millions, except per share) 2Q26 1Q26 2Q25 Revenues $2,532 $2,441 $2,396 Noninterest Expense 1,349 1,438 1,336 Provision for Credit Losses 120 140 125 Net Income 818 664 716 Diluted EPS 5.32 4.13 4.24 Return on Assets 1.51% 1.26% 1.37% Return on Common Equity 12.30 9.67 10.39 Net Interest Margin(1) 3.70 3.70 3.62 Net Charge-offs % Avg Loans .23 .31 .32 Note: (1)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 (2) Amounts presented before any related tax effect. (3) Taxable-equivalent net interest income impact was a decrease of $20 million (-4 bps impact to NIM) in 2Q25. (4) Included in Other revenues from operations. *M&amp;T generated record earnings per share in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Note: (1) See Appendix for reconciliation of GAAP with these non-GAAP measures. (2) As of respective period end. Second Quarter 2026 Earnings Highlights Net Operating Results (Non-GAAP)(1) ($ in millions, except per share) 2Q26 1Q26 2Q25 Net Operating Income $823 $671 $724 Diluted Net Operating EPS 5.35 4.18 4.28 Efficiency Ratio 52.8% 58.3% 55.2% Net Operating ROTA 1.59 1.33 1.44 Net Operating ROTCE 18.57 14.51 15.54 Tangible Book Value per Share(2) $117.41 $115.96 $112.48 • Diluted Net Operating EPS increased +28% QoQ and +25% YoY • Efficiency Ratio was 52.8% for 2Q26, down -2.4% YoY • Net Operating ROTA increased +26 bps QoQ and +15 bps YoY • Net Operating ROTCE increased +406 bps QoQ and +303 bps YoY • Tangible Book Value per Share increased +1% QoQ and +4%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Net Interest Income(1) &amp; Net Interest Margin Note: (1) Taxable-equivalent net interest income is a non-GAAP measure that adjusts income earned on a tax-exempt asset to present it on an equivalent basis to interest income earned on a fully taxable asset. (2) See Appendix for reconciliation of this adjusted measure. (3)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 $ IN M IL LI O N S $1,722 $1,773 $1,790 $1,763 $1,804 3.62% 3.69% 3.70% 3.70% 3.70% Net Interest Income (Taxable-equivalent)(1) Net Interest Margin(3) 2Q25 3Q25 4Q25 1Q26 2Q26 QoQ Drivers • Taxable-equivalent net interest income(1) increased +$41 million or +2% QoQ – Higher nonaccrual interest – One additional day – Higher average earning assets, partially offset by higher funding levels • Net interest margin remained flat QoQ – Higher earning asset yields, partially offset by higher funding costs in support of loan growth (+1 bp) – Lower contribution of interest-free funds (-1 bp)2Q25 Adjusted NIM was 3.66%(2)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 Capital levels strong with CET1 capital ratio of 10.19%(3) • Repurchased $465 million(4) of common shares in 2Q26 Change 2Q26 vs Average Balances, $ in billions, except per share 2Q26 1Q26 2Q25 1Q26 2Q25 Interest-bearing Deposits at Banks $15.1 $16.2 $19.7 -7% -24% Investment Securities 38.7 37.8 35.3 2 10 Commercial and Industrial (“C&amp;I”) 66.0 63.8 61.0 4 8 Commercial Real Estate (“CRE”) 23.6 23.5 25.3 — -7 Residential Real Estate ("RRE") 25.1 24.8 23.7 1 6 Consumer 26.7 26.3 25.4 2 5 Total Loans 141.4 138.4 135.4 2 4 Earning Assets 195.2 192.6 190.5 1 2 Deposits(1) 163.5 164.2 163.3 — — Borrowings 20.8 16.8 14.3 24 46 Common Shareholders’ Equity 25.5 26.1 26.3 -2 -3 As of Quarter End Common Shareholders' Equity per Share $176.03 $173.82 $166.94 1% 5% Tangible Equity per Common Share(2) 117.41 115.96 112.48 1 4 Tangible Common Equity / Tangible Assets(2) 8.07 % 8.26 % 8.67 % -19 bps -60 bps Common Equity Tier 1 ("CET1") Capital Ratio 10.19 10.33 10.99 -14 bps -80 bps Balance Sheet – Overview Note: (1)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 (2) See Appendix for reconciliation of GAAP with these non-GAAP measures. (3) June 30, 2026 CET1 capital ratio is estimated. (4) Includes share repurchase excise tax.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Balance Sheet – Average Loans QoQ Drivers Average loans increased +$3.0 billion QoQ: • Consumer loans increased +2% (+$413 million) • RRE loans increased +1% (+$269 million) • CRE loans grew +$57 million – CRE loans at 6/30/2026 grew +5% (+$1.1 billion) from 3/31/2026 • C&amp;I loans grew +4% (+$2.3 billion) $ IN B IL LI O N S $61.0 $61.7 $62.2 $63.8 $66.0 $25.3 $24.3 $24.1 $23.5 $23.6 $23.7 $24.4 $24.8 $24.8 $25.1 $25.4 $26.1 $26.5 $26.3 $26.7 $135.4 $136.5 $137.6 $138.4 $141.4 6.10% 6.15% 6.01% 5.85% 5.89% C&amp;I CRE RRE Consumer Total Loans Total Loan Yield(1) 2Q25 3Q25 4Q25 1Q26 2Q26 Note: (1)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Balance Sheet – Securities and Invested Cash Liquidity Coverage Ratio was 106%(3) on June 30, 2026 Duration Pre-tax Unrealized Gain/(Loss) AFS ~3.1 years ($125 million) HTM ~4.6 years ($789 million) Total Debt Securities ~3.6 years ($914 million) $ IN B IL LI O N S Average Investment Securities and Yield⁽¹⁾ $35.3 $36.6 $36.7 $37.8 $38.7 3.80% 4.15% 4.19% 4.22% 4.29% 2Q25 3Q25 4Q25 1Q26 2Q26 Interest- bearing deposits at banks 29% Other Securities 2% HTM Securities 22% AFS Securities 47% $53.9B TOTAL 2Q25 Adjusted Yield was 4.02%(1)(2) Securities and Invested Cash at 6/30/26 Note: (1)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 (2) See Appendix for reconciliation of this adjusted measure. (3) While not subject to the liquidity coverage ratio requirements ("LCR"), M&amp;T estimates that its LCR on June 30, 2026 exceeded the regulatory minimum standards that would be applicable if it were a Category III institution subject to the Category III reduced LCR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Balance Sheet – Average Deposits QoQ Drivers Average deposits decreased -$652 million QoQ: • Interest-bearing deposit cost decreased -2 bps – 56% cumulative deposit beta since 3Q24 • Time deposits increased +$749 million • Savings and Interest-checking Deposits decreased -$818 million • Average noninterest-bearing deposits decreased -$583 million $ IN B IL LI O N S $45.1 $44.0 $44.2 $44.6 $43.9 $104.0 $104.7 $107.2 $106.6 $105.8 $14.2 $13.9 $13.5 $13.0 $13.8 $163.3 $162.6 $164.9 $164.2 $163.5 Noninterest-bearing Deposits Savings and Interest-checking Deposits(1) Time Deposits(1) Total Deposits(1) 2Q25 3Q25 4Q25 1Q26 2Q26 2Q25 3Q25 4Q25 1Q26 2Q26 Total deposit cost(1) 1.73% 1.72% 1.59% 1.43% 1.42% Interest-bearing deposit cost(1) 2.39% 2.36% 2.17% 1.97% 1.95% Note: (1)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 IN M IL LI O N S $683 $752 $696 $689 $740 Noninterest Income 2Q25 3Q25 4Q25 1Q26 2Q26 Change 2Q26 vs $ in millions 2Q26 1Q26 2Q25   1Q26 2Q25 Mortgage Banking Revenues $127 $127 $130 —% -2% Service Charges on Deposits 144 139 137 4 4 Trust Income 197 183 182 8 9 Brokerage Services 35 35 31 2 13 Non-hedge Derivatives / Trading 22 14 12 61 100 Securities Gain/(Loss) 2 4 — -57 — Other Revenues from Operations 213 187 191 14 12 Noninterest Income $740 $689 $683   8% 8% Income Statement – Noninterest Income Noninterest income increased +$51 million or +8% QoQ: • Trust income rose +$14 million reflecting higher revenues from the Company's institutional services and wealth management businesses, including seasonal tax service fees • Trading account and other non-hedging derivative gains increased +$8 million reflecting higher revenues from interest rate swap transactions with commercial customers • Other revenues from operations increased +$26 million reflecting a $47 million distribution from M&amp;T's investment in BLG in the recent quarter as compared with $33 million in the first quarter of 2026 and higher merchant discount and credit card fees QoQ Drivers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 IN M IL LI O N S $1,327 $1,353 $1,369 $1,429 $1,342 $1,336 $1,363 $1,379 $1,438 $1,349 55.2% 53.6% 55.1% 58.3% 52.8% Operating Noninterest Expense(1) Intangible Amort &amp; Merger-Related Total Noninterest Expense Efficiency Ratio(1) 2Q25 3Q25 4Q25 1Q26 2Q26 Change 2Q26 vs $ in millions 2Q26 1Q26 2Q25 1Q26 2Q25 Salaries &amp; Employee Benefits(2) $826 $914 $813 -10% 2% Equipment &amp; Net Occupancy 129 133 130 -2 — Outside Data Proc &amp; Software 154 144 138 8 12 Professional &amp; Other Services 89 93 86 -5 2 FDIC Assessments 18 23 22 -27 -21 Advertising &amp; Marketing 27 21 25 31 8 Other Costs of Operations 99 101 113 -2 -12 Operating Expense(1) 1,342 1,429 1,327 -6 1 Intangible Amortization 7 9 9 -26 -27 Total Noninterest Expense $1,349 $1,438 $1,336   (6)% 1% Income Statement – Noninterest Expenses Noninterest expense decreased -$89 million or -6% QoQ: • Salaries and employee benefits expense decreased -$88 million reflecting: – Seasonally higher stock-based compensation and employee benefits expense in 1Q26 and lower average staffing levels in 2Q26 – Partially offset by the full-quarter impact of annual merit increases awarded in 1Q26 and an additional working day in 2Q26 Note: (1) See Appendix for reconciliation of GAAP with these non-GAAP and adjusted measures. Noninterest operating expense excludes merger-related expenses and amortization of core deposit and other intangible assets. (2) Severance-related charges for 2Q26, 1Q26 and 2Q25 were $6 million, $4 million and $5 million, respectively. QoQ Drivers Adjusted Efficiency 54.5%(1) Adjusted Efficiency 55.3%(1) Adjusted Efficiency 55.0%(1) • Outside data processing and software costs increased +$10 million reflecting costs associated with enhancements to the Company's technology infrastructure, cybersecurity and financial recordkeeping and reporting systems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 IN M IL LI O N S Nonaccrual Loans $1,573 $1,512 $1,252 $1,240 $1,208 1.16% 1.10% 0.90% 0.89% 0.84% Nonaccrual Loans ($) Nonaccrual Loans (%) 2Q25 3Q25 4Q25 1Q26 2Q26 $ IN M IL LI O N S Net Charge-offs $108 $146 $185 $105 $800.32% 0.42% 0.54% 0.31% 0.23% Net Charge-offs ($) Net Charge-off Ratio (%) 2Q25 3Q25 4Q25 1Q26 2Q26 Credit $ IN M IL LI O N S Allowance for Loan Losses $2,197 $2,161 $2,116 $2,136 $2,176 1.61% 1.58% 1.53% 1.53% 1.52% Allowance for Loan Losses ($) Allowance for Loan Losses (%) 2Q25 3Q25 4Q25 1Q26 2Q26 $ IN M IL LI O N S Provision for Credit Losses $125 $125 $125 $140 $120 $105 $110 $140 $125 $120$20 $15 -$15 $15 Provision for Loan Losses Provision for Unfunded Credit Commitments 2Q25 3Q25 4Q25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Criticized C&amp;I and CRE Loans Criticized loans decreased -$700 million QoQ: • C&amp;I decreased -$110 million • CRE decreased -$590 million – Permanent CRE -$435 million – Construction -$155 million • 94% of criticized accrual loans are current $ IN B IL LI O N S $8.4 $7.8 $7.3 $6.6 $5.9 9.7% 9.0% 8.3% 7.4% 6.5% Criticized Criticized % of C&amp;I and CRE Loans 2Q25 3Q25 4Q25 1Q26 2Q26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CET1 10.99% 10.99% 10.84% 10.33% 10.19% 2Q25 3Q25 4Q25 1Q26 2Q26 TBVPS $112.48 $115.31 $117.45 $115.96 $117.41 2Q25 3Q25 4Q25 1Q26 2Q26 Capital • CET1 capital ratio decreased to 10.19%(1) at the end of 2Q26 • Tangible book value per share increased +1% to $117.41 • AFS and pension-related AOCI would have impacted the CET1 capital ratio by -2 bps at the end of 2Q26 Note: (1) CET1 capital ratio at June 30, 2026 is estimated. (2) See Appendix for reconciliation of GAAP with this non-GAAP measure. QoQ Drivers (1) (2) Basel III - June 2026 Proposal • CET1 capital ratio at the end of 1Q26 would have increased an estimated +90 +/- bps under the standardized approach and an additional +10-20 bps under the expanded risk-based approach, excluding the impact of AOCI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2026 Outlook 2026 Outlook Comments In co m e St at em en t Net Interest Income Taxable-equivalent $7.2 to $7.35 billion • Bottom half of the range for NII translates to NIM in the high 3.60s • Range dependent on loan growth, deposit trends and shape of the yield curve Fee Income $2.8 to $2.85 billion • Reflects broad based strength in fee income year to date, the second quarter BLG distribution and higher sub-servicing fee income beginning in the third quarter GAAP Expense Includes intangible amortization $5.5 to $5.6 billion • High end of the range • Continued investment in enterprise initiatives and well-managed non-investment spend Net Charge-Offs % of Average Loans ~37 basis points Tax Rate Taxable-equivalent 24.0% +/- A ve ra ge B al an ce s Loans $141 to $143 billion • Reflects continued commercial loan momentum, inflecting CRE balances and continued growth in consumer Deposits $165 to $167 billion • Focus on growing operational accounts and other customer deposits at a reasonable cost CET1 Capital Ratio 10.0% to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Why invest in M&amp;T? • Long term focused with deeply embedded culture • Business operated to represent the best interests of all key stakeholders • Energized colleagues consistently serving our customers and communities • A safe haven for our clients as proven during turbulent times and crisis • Experienced and seasoned management team • Strong risk controls with long track record of credit outperformance through cycles • Leading position in core markets • 15-17% ROTCE(1) • Robust dividend growth • 8% TBV per share growth(2) Source: FactSet, S&amp;P Global, Company Filings. Note: (1) ROTCE range comprises 5 years of the trailing 3-year ROTCE from 2020-2025, consistent with M&amp;T's measurement of ROTCE for performance-based stock compensation. (2) TBV per share growth represents CAGR from 2020-2025. Purpose-Driven Successful and Sustainable Business Model that Produces Strong Shareholder Returns Purpose Driven Organization Successful and Sustainable Business Model Strong Shareholder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M&amp;T consistently provides supplemental reporting of its results on a “net operating” or “tangible” basis, from which M&amp;T excludes the after-tax effect of amortization of core deposit and other intangible assets (and the related goodwill, core deposit and other intangible asset balances, net of applicable deferred tax amounts) and gains (when realized) and expenses (when incurred) associated with merging acquired operations into M&amp;T, since such items are considered by management to be “nonoperating” in nature. Although “net operating income” as defined by M&amp;T is not a GAAP measure, M&amp;T’s management believes that this information helps investors understand the effect of acquisition activity in reported results. Appendix Note: (1) After any related tax effect. GAAP to Net Operating (Non-GAAP) Reconciliation In millions, except per share 2Q25 3Q25 4Q25 1Q26 2Q26 Net income Net income $716 $792 $759 $664 $818 Amortization of core deposits and other intangible assets (1) 8 6 8 7 5 Net operating income $724 $798 $767 $671 $823 Earnings per common share Diluted earnings per common share $4.24 $4.82 $4.67 $4.13 $5.32 Amortization of core deposits and other intangible assets (1) 0.04 0.05 0.05 0.05 0.03 Diluted net operating earnings per common share $4.28 $4.87 $4.72 $4.18 $5.35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Appendix GAAP to Net Operating (Non-GAAP) Reconciliation In millions 2Q25 3Q25 4Q25 1Q26 2Q26 Other expense Other expense $1,336 $1,363 $1,379 $1,438 $1,349 Amortization of core deposit and other intangible assets (9) (10) (10) (9) (7) Noninterest operating expense $1,327 $1,353 $1,369 $1,429 $1,342 Efficiency ratio Noninterest operating expense (numerator) $1,327 $1,353 $1,369 $1,429 $1,342 Taxable-equivalent net interest income $1,722 $1,773 $1,790 $1,763 $1,804 Other income 683 752 696 689 740 Less: Gain (loss) on bank investment securities — 1 1 4 2 Denominator $2,405 $2,524 $2,485 $2,448 $2,542 Efficiency ratio 55.2 % 53.6 % 55.1 % 58.3 % 52.8 %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Appendix In millions 2Q25 3Q25 4Q25 1Q26 2Q26 Average assets Average assets $210,261 $211,053 $212,891 $213,828 $216,532 Goodwill (8,465) (8,465) (8,465) (8,465) (8,465) Core deposit and other intangible assets (89) (79) (69) (59) (51) Deferred taxes 26 24 22 19 17 Average tangible assets $201,733 $202,533 $204,379 $205,323 $208,033 Average common equity Average total equity $28,666 $28,583 $28,970 $28,648 $27,939 Preferred stock (2,394) (2,394) (2,691) (2,576) (2,434) Average common equity 26,272 26,189 26,279 26,072 25,505 Goodwill (8,465) (8,465) (8,465) (8,465) (8,465) Core deposit and other intangible assets (89) (79) (69) (59) (51) Deferred taxes 26 24 22 19 17 Average tangible common equity $17,744 $17,669 $17,767 $17,567 $17,006 GAAP to Tangible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Appendix In millions 6/30/2025 9/30/2025 12/31/2025 3/31/2026 6/30/2026 Total assets Total assets $211,584 $211,277 $213,510 $214,736 $219,261 Goodwill (8,465) (8,465) (8,465) (8,465) (8,465) Core deposit and other intangible assets (84) (74) (64) (55) (48) Deferred taxes 25 23 20 18 17 Total tangible assets $203,060 $202,761 $205,001 $206,234 $210,765 Total common equity Total equity $28,525 $28,728 $29,177 $27,972 $27,946 Preferred stock (2,394) (2,394) (2,834) (2,434) (2,434) Common equity 26,131 26,334 26,343 25,538 25,512 Goodwill (8,465) (8,465) (8,465) (8,465) (8,465) Core deposit and other intangible assets (84) (74) (64) (55) (48) Deferred taxes 25 23 20 18 17 Total tangible common equity $17,607 $17,818 $17,834 $17,036 $17,016 GAAP to Tangible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Appendix Reconciliation of Adjusted Metrics In millions, except per share 2Q25 3Q25 4Q25 1Q26 2Q26 Taxable-equivalent net interest income - Adjusted Taxable-equivalent net interest income $1,722 Premium amortization for acquired securities 20 Taxable-equivalent net interest income - Adjusted $1,742 Net interest margin - Adjusted(1) Net interest margin 3.62% Premium amortization for acquired securities 0.04 Net interest margin - Adjusted 3.66% Yield on investment securities(2)(3) 3.80% Premium amortization for acquired securities 0.22 Yield on investment securities - Adjusted 4.02% Note: (1) Net interest margin is calculated on average earning assets of $190.5 billion in 2Q25. (2) Yields on investment securities are calculated on average investment securities of $35.3 billion in 2Q25. (3) In conjunction with the implementation of a new general ledger platform during the second quarter of 2026, the Company modified its methodology for calculating annualized taxable-equivalent rates for certain earning assets and interest-bearing liabilities, including certain average deposit balances. Previously reported amounts have been adjusted to conform to the current presentation. M&amp;T is providing supplemental reporting of its results on a “Adjusted” basis, from which M&amp;T excludes the after-tax effect of certain notable items of significance. Although “ Adjusted” income and expense as presented by M&amp;T is not a GAAP measure, M&amp;T management believes that this information helps investors understand the effect of such notable items in reported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Appendix Reconciliation of Adjusted Metrics In millions 2Q25 3Q25 4Q25 1Q26 2Q26 Other income - Adjusted Other income $683 $752 $696 Gain on sale of out-of-footprint loan portfolio (15) — — Gain on sale of institutional services subsidiary (10) — — Earnout payment related to 2023 sale of CIT business — (28) — Other income - Adjusted $658 $724 $696 Noninterest operating expense - Adjusted Noninterest operating expense $1,327 $1,353 $1,369 Charitable contribution — — (30) FDIC Special Assessment — 8 29 Noninterest operating expense - Adjusted $1,327 $1,361 $1,368 Efficiency ratio - Adjusted Noninterest operating expense (numerator) - Adjusted $1,327 $1,361 $1,368 Taxable-equivalent net interest income - Adjusted 1,742 1,773 1,790 Other income - Adjusted 658 724 696 Less: Gain (loss) on bank investment securities — — 1 Denominator $2,400 $2,497 $2,485 Efficiency ratio - Adjusted 55.3% 54.5% 55.0%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jpeg"/><Relationship Id="rId28" Type="http://schemas.openxmlformats.org/officeDocument/2006/relationships/image" Target="media/image8.jpeg"/><Relationship Id="rId29" Type="http://schemas.openxmlformats.org/officeDocument/2006/relationships/image" Target="media/image9.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image" Target="media/image14.jpeg"/><Relationship Id="rId35" Type="http://schemas.openxmlformats.org/officeDocument/2006/relationships/image" Target="media/image15.jpeg"/><Relationship Id="rId36" Type="http://schemas.openxmlformats.org/officeDocument/2006/relationships/image" Target="media/image16.jpeg"/><Relationship Id="rId37" Type="http://schemas.openxmlformats.org/officeDocument/2006/relationships/image" Target="media/image17.jpeg"/><Relationship Id="rId38" Type="http://schemas.openxmlformats.org/officeDocument/2006/relationships/image" Target="media/image18.jpeg"/><Relationship Id="rId39" Type="http://schemas.openxmlformats.org/officeDocument/2006/relationships/image" Target="media/image19.jpeg"/><Relationship Id="rId40" Type="http://schemas.openxmlformats.org/officeDocument/2006/relationships/image" Target="media/image20.jpeg"/><Relationship Id="rId41" Type="http://schemas.openxmlformats.org/officeDocument/2006/relationships/image" Target="media/image21.jpeg"/><Relationship Id="rId42" Type="http://schemas.openxmlformats.org/officeDocument/2006/relationships/image" Target="media/image22.jpeg"/><Relationship Id="rId43" Type="http://schemas.openxmlformats.org/officeDocument/2006/relationships/image" Target="media/image23.jpeg"/><Relationship Id="rId44" Type="http://schemas.openxmlformats.org/officeDocument/2006/relationships/image" Target="media/image24.jpeg"/><Relationship Id="rId45" Type="http://schemas.openxmlformats.org/officeDocument/2006/relationships/image" Target="media/image25.jpeg"/><Relationship Id="rId46" Type="http://schemas.openxmlformats.org/officeDocument/2006/relationships/image" Target="media/image26.jpeg"/><Relationship Id="rId47" Type="http://schemas.openxmlformats.org/officeDocument/2006/relationships/image" Target="media/image27.jpeg"/><Relationship Id="rId48" Type="http://schemas.openxmlformats.org/officeDocument/2006/relationships/image" Target="media/image28.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13890</Words>
  <Characters>74022</Characters>
  <CharactersWithSpaces>86465</CharactersWithSpaces>
  <Paragraphs>3915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a2q26earningspresentatio</dc:title>
</cp:coreProperties>
</file>